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jc w:val="both"/>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附件2</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jc w:val="both"/>
        <w:textAlignment w:val="auto"/>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eastAsia="方正小标宋简体" w:cs="Times New Roman"/>
          <w:b w:val="0"/>
          <w:bCs w:val="0"/>
          <w:sz w:val="44"/>
          <w:szCs w:val="44"/>
          <w:lang w:val="en-US" w:eastAsia="zh-CN"/>
        </w:rPr>
      </w:pPr>
      <w:r>
        <w:rPr>
          <w:rFonts w:hint="default" w:ascii="Times New Roman" w:hAnsi="Times New Roman" w:eastAsia="方正小标宋简体" w:cs="Times New Roman"/>
          <w:b w:val="0"/>
          <w:bCs w:val="0"/>
          <w:sz w:val="44"/>
          <w:szCs w:val="44"/>
          <w:lang w:val="en-US" w:eastAsia="zh-CN"/>
        </w:rPr>
        <w:t>辽宁省药学（药学门诊方向）技能</w:t>
      </w:r>
      <w:r>
        <w:rPr>
          <w:rFonts w:hint="eastAsia" w:eastAsia="方正小标宋简体" w:cs="Times New Roman"/>
          <w:b w:val="0"/>
          <w:bCs w:val="0"/>
          <w:sz w:val="44"/>
          <w:szCs w:val="44"/>
          <w:lang w:val="en-US" w:eastAsia="zh-CN"/>
        </w:rPr>
        <w:t>竞</w:t>
      </w:r>
      <w:r>
        <w:rPr>
          <w:rFonts w:hint="default" w:ascii="Times New Roman" w:hAnsi="Times New Roman" w:eastAsia="方正小标宋简体" w:cs="Times New Roman"/>
          <w:b w:val="0"/>
          <w:bCs w:val="0"/>
          <w:sz w:val="44"/>
          <w:szCs w:val="44"/>
          <w:lang w:val="en-US" w:eastAsia="zh-CN"/>
        </w:rPr>
        <w:t>赛</w:t>
      </w: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eastAsia="方正小标宋简体" w:cs="Times New Roman"/>
          <w:b w:val="0"/>
          <w:bCs w:val="0"/>
          <w:sz w:val="44"/>
          <w:szCs w:val="44"/>
          <w:lang w:val="en-US" w:eastAsia="zh-CN"/>
        </w:rPr>
      </w:pPr>
      <w:r>
        <w:rPr>
          <w:rFonts w:hint="default" w:ascii="Times New Roman" w:hAnsi="Times New Roman" w:eastAsia="方正小标宋简体" w:cs="Times New Roman"/>
          <w:b w:val="0"/>
          <w:bCs w:val="0"/>
          <w:sz w:val="44"/>
          <w:szCs w:val="44"/>
          <w:lang w:val="en-US" w:eastAsia="zh-CN"/>
        </w:rPr>
        <w:t>实施方案</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方正仿宋_GB2312" w:cs="Times New Roman"/>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为积极响应国家卫生健康委关于规范药学服务发展、推动药学服务转型、提升药学门诊服务质量的各项工作部署，深入贯彻落实药学门诊服务规范等相关文件精神，结合我省药学门诊工作实际、精准对接行业发展需求，制定本实施方案。</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一、竞赛目的</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以赛促学、以赛促练、以赛促用、以赛促建，聚焦药学门诊规范化服务能力提升，夯实药师政策理论、临床思维与沟通服务技能；搭建全省药学门诊交流展示平台，培育“懂政策、精专业、善沟通、能服务”的高素质药学人才；推动全省药学门诊同质化、标准化、高质量发展，为人民群众提供更优质、高效、便捷的药学服务，助力辽宁卫生健康事业高质</w:t>
      </w:r>
      <w:bookmarkStart w:id="0" w:name="_GoBack"/>
      <w:bookmarkEnd w:id="0"/>
      <w:r>
        <w:rPr>
          <w:rFonts w:hint="eastAsia" w:ascii="仿宋" w:hAnsi="仿宋" w:eastAsia="仿宋" w:cs="仿宋"/>
          <w:b w:val="0"/>
          <w:bCs w:val="0"/>
          <w:color w:val="auto"/>
          <w:sz w:val="32"/>
          <w:szCs w:val="32"/>
          <w:lang w:val="en-US" w:eastAsia="zh-CN"/>
        </w:rPr>
        <w:t>量发展，同时通过竞赛选拔优秀人才，组建辽宁省代表队参与更高层级赛事。</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黑体" w:cs="Times New Roman"/>
          <w:b w:val="0"/>
          <w:bCs w:val="0"/>
          <w:color w:val="auto"/>
          <w:sz w:val="32"/>
          <w:szCs w:val="32"/>
          <w:lang w:val="en-US" w:eastAsia="zh-CN"/>
        </w:rPr>
        <w:t>二、组织机构</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本次竞赛由省卫生健康委药政食品处负责竞赛统筹协调、组织实施、宣传推广等相关工作，并牵头成立竞赛工作办公室。本次竞赛设立专家委员会，主要负责竞赛命题、培训指导、赛事评审等专业性工作；同步设立监督委员会，对竞赛全过程开展纪律监督、合规核查等监管工作，保障赛事规范有序开展。</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黑体" w:cs="Times New Roman"/>
          <w:b w:val="0"/>
          <w:bCs w:val="0"/>
          <w:color w:val="auto"/>
          <w:sz w:val="32"/>
          <w:szCs w:val="32"/>
          <w:lang w:val="en-US" w:eastAsia="zh-CN"/>
        </w:rPr>
        <w:t>三、竞赛内容</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竞赛内容包括药学相关政策规范、基础专业理论与临床实践能力，重点考察药学门诊岗位培训内容，主要包含慢病、抗凝、咳喘、妊娠哺乳、儿科、肿瘤等专业方向，竞赛命题大纲见附件1。</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黑体" w:cs="Times New Roman"/>
          <w:b w:val="0"/>
          <w:bCs w:val="0"/>
          <w:color w:val="auto"/>
          <w:sz w:val="32"/>
          <w:szCs w:val="32"/>
          <w:lang w:val="en-US" w:eastAsia="zh-CN"/>
        </w:rPr>
        <w:t>四、参加单位</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原则上各地市分别组建1支参赛队伍，各省属综合医院自行组建1支参赛队伍，</w:t>
      </w:r>
      <w:r>
        <w:rPr>
          <w:rFonts w:hint="eastAsia" w:ascii="仿宋" w:hAnsi="仿宋" w:eastAsia="仿宋" w:cs="仿宋"/>
          <w:color w:val="auto"/>
          <w:sz w:val="32"/>
          <w:szCs w:val="32"/>
        </w:rPr>
        <w:t>每支队伍参赛人员3名</w:t>
      </w:r>
      <w:r>
        <w:rPr>
          <w:rFonts w:hint="eastAsia" w:ascii="仿宋" w:hAnsi="仿宋" w:eastAsia="仿宋" w:cs="仿宋"/>
          <w:b w:val="0"/>
          <w:bCs w:val="0"/>
          <w:color w:val="auto"/>
          <w:sz w:val="32"/>
          <w:szCs w:val="32"/>
          <w:lang w:val="en-US" w:eastAsia="zh-CN"/>
        </w:rPr>
        <w:t>。鼓励省属专科医院、部队医院报名参赛。可结合自身实际灵活调整参赛队伍数量，确不具备组队条件的地市、省属医院可不予报送参赛队伍。</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黑体" w:cs="Times New Roman"/>
          <w:b w:val="0"/>
          <w:bCs w:val="0"/>
          <w:color w:val="auto"/>
          <w:sz w:val="32"/>
          <w:szCs w:val="32"/>
          <w:lang w:val="en-US" w:eastAsia="zh-CN"/>
        </w:rPr>
        <w:t>五、参赛人员要求及报名</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Chars="0" w:firstLine="640" w:firstLineChars="200"/>
        <w:jc w:val="left"/>
        <w:textAlignment w:val="auto"/>
        <w:rPr>
          <w:rFonts w:hint="eastAsia" w:ascii="仿宋" w:hAnsi="仿宋" w:eastAsia="仿宋" w:cs="仿宋"/>
          <w:color w:val="auto"/>
          <w:sz w:val="32"/>
          <w:szCs w:val="32"/>
          <w:lang w:val="en-US" w:eastAsia="zh-CN"/>
        </w:rPr>
      </w:pPr>
      <w:r>
        <w:rPr>
          <w:rFonts w:hint="eastAsia" w:ascii="楷体" w:hAnsi="楷体" w:eastAsia="楷体" w:cs="楷体"/>
          <w:color w:val="auto"/>
          <w:sz w:val="32"/>
          <w:szCs w:val="32"/>
          <w:lang w:val="en-US" w:eastAsia="zh-CN"/>
        </w:rPr>
        <w:t>（一）人员要求。</w:t>
      </w:r>
      <w:r>
        <w:rPr>
          <w:rFonts w:hint="eastAsia" w:ascii="仿宋" w:hAnsi="仿宋" w:eastAsia="仿宋" w:cs="仿宋"/>
          <w:color w:val="auto"/>
          <w:sz w:val="32"/>
          <w:szCs w:val="32"/>
          <w:lang w:val="en-US" w:eastAsia="zh-CN"/>
        </w:rPr>
        <w:t>全省各级医疗卫生机构中从事药学门诊工作的在岗药师。参赛人员要求具体如下：</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1.药师职称和工作年限符合以下条件之一：①具有主管药师及以上专业技术职务任职资格、从事临床药学工作3年及以上；②具有副主任药师及以上专业技术职务任职资格、从事临床药学工作2年及以上；</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2.在岗从事药学门诊工作，能够提供药学门诊挂号、服务相关工作记录；</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0" w:leftChars="0"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3.优先推荐参加过紧缺人才岗位药师培训的师资和学员，不限定岗位培训中的岗位方向。</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Chars="0" w:firstLine="640" w:firstLineChars="200"/>
        <w:jc w:val="left"/>
        <w:textAlignment w:val="auto"/>
        <w:rPr>
          <w:rFonts w:hint="eastAsia" w:ascii="仿宋" w:hAnsi="仿宋" w:eastAsia="仿宋" w:cs="仿宋"/>
          <w:b w:val="0"/>
          <w:bCs w:val="0"/>
          <w:color w:val="auto"/>
          <w:kern w:val="2"/>
          <w:sz w:val="32"/>
          <w:szCs w:val="32"/>
          <w:u w:val="none"/>
          <w:lang w:val="en-US" w:eastAsia="zh-CN" w:bidi="ar-SA"/>
        </w:rPr>
      </w:pPr>
      <w:r>
        <w:rPr>
          <w:rFonts w:hint="eastAsia" w:ascii="楷体" w:hAnsi="楷体" w:eastAsia="楷体" w:cs="楷体"/>
          <w:color w:val="auto"/>
          <w:sz w:val="32"/>
          <w:szCs w:val="32"/>
          <w:lang w:val="en-US" w:eastAsia="zh-CN"/>
        </w:rPr>
        <w:t>（二）报名要求。</w:t>
      </w:r>
      <w:r>
        <w:rPr>
          <w:rFonts w:hint="eastAsia" w:ascii="仿宋" w:hAnsi="仿宋" w:eastAsia="仿宋" w:cs="仿宋"/>
          <w:b w:val="0"/>
          <w:bCs w:val="0"/>
          <w:color w:val="auto"/>
          <w:kern w:val="2"/>
          <w:sz w:val="32"/>
          <w:szCs w:val="32"/>
          <w:u w:val="none"/>
          <w:lang w:val="en-US" w:eastAsia="zh-CN" w:bidi="ar-SA"/>
        </w:rPr>
        <w:t>各参赛队填写《省级竞赛参赛人员资格审核表》（见附件2）、《省级竞赛参赛人员信息汇总表》（见附件3）。同时由参赛选手所在医疗机构出具药师从事药学门诊工作相关证明材料，参加过</w:t>
      </w:r>
      <w:r>
        <w:rPr>
          <w:rFonts w:hint="eastAsia" w:ascii="仿宋" w:hAnsi="仿宋" w:eastAsia="仿宋" w:cs="仿宋"/>
          <w:color w:val="auto"/>
          <w:sz w:val="32"/>
          <w:szCs w:val="32"/>
          <w:lang w:val="en-US" w:eastAsia="zh-CN"/>
        </w:rPr>
        <w:t>紧缺人才岗位药师培训的师资和学员提供师资证明或培训合格证书。若组建1支以上参赛队伍，应提前确定每支队伍参赛人员，比赛期间不允许临时变更参赛队伍。</w:t>
      </w:r>
      <w:r>
        <w:rPr>
          <w:rFonts w:hint="eastAsia" w:ascii="仿宋" w:hAnsi="仿宋" w:eastAsia="仿宋" w:cs="仿宋"/>
          <w:b w:val="0"/>
          <w:bCs w:val="0"/>
          <w:color w:val="auto"/>
          <w:kern w:val="2"/>
          <w:sz w:val="32"/>
          <w:szCs w:val="32"/>
          <w:u w:val="none"/>
          <w:lang w:val="en-US" w:eastAsia="zh-CN" w:bidi="ar-SA"/>
        </w:rPr>
        <w:t>将上述报名材</w:t>
      </w:r>
      <w:r>
        <w:rPr>
          <w:rFonts w:hint="eastAsia" w:ascii="仿宋" w:hAnsi="仿宋" w:eastAsia="仿宋" w:cs="仿宋"/>
          <w:b w:val="0"/>
          <w:bCs w:val="0"/>
          <w:color w:val="auto"/>
          <w:kern w:val="2"/>
          <w:sz w:val="32"/>
          <w:szCs w:val="32"/>
          <w:highlight w:val="none"/>
          <w:u w:val="none"/>
          <w:lang w:val="en-US" w:eastAsia="zh-CN" w:bidi="ar-SA"/>
        </w:rPr>
        <w:t>料于8月20日前报送</w:t>
      </w:r>
      <w:r>
        <w:rPr>
          <w:rFonts w:hint="eastAsia" w:ascii="仿宋" w:hAnsi="仿宋" w:eastAsia="仿宋" w:cs="仿宋"/>
          <w:b w:val="0"/>
          <w:bCs w:val="0"/>
          <w:color w:val="auto"/>
          <w:kern w:val="2"/>
          <w:sz w:val="32"/>
          <w:szCs w:val="32"/>
          <w:u w:val="none"/>
          <w:lang w:val="en-US" w:eastAsia="zh-CN" w:bidi="ar-SA"/>
        </w:rPr>
        <w:t>邮箱lnwsyz@163.com。</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黑体" w:cs="Times New Roman"/>
          <w:b w:val="0"/>
          <w:bCs w:val="0"/>
          <w:color w:val="auto"/>
          <w:sz w:val="32"/>
          <w:szCs w:val="32"/>
          <w:lang w:val="en-US" w:eastAsia="zh-CN"/>
        </w:rPr>
        <w:t>六、竞赛流程</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Chars="0"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lang w:val="en-US" w:eastAsia="zh-CN"/>
        </w:rPr>
        <w:t>各市、各省属医院可通过多种方式遴选参赛人员，按期完成队伍组建。省级赛事设置团队竞赛与个人综合竞赛，赛后完成成绩排名、省队选拔全流程工作。</w:t>
      </w:r>
      <w:r>
        <w:rPr>
          <w:rFonts w:hint="eastAsia" w:ascii="仿宋" w:hAnsi="仿宋" w:eastAsia="仿宋" w:cs="仿宋"/>
          <w:color w:val="auto"/>
          <w:sz w:val="32"/>
          <w:szCs w:val="32"/>
          <w:highlight w:val="none"/>
          <w:lang w:val="en-US" w:eastAsia="zh-CN"/>
        </w:rPr>
        <w:t>拟于8月底前完成，比赛具体时间另行通知。</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color w:val="auto"/>
          <w:sz w:val="32"/>
          <w:szCs w:val="32"/>
          <w:highlight w:val="yellow"/>
          <w:lang w:val="en-US" w:eastAsia="zh-CN"/>
        </w:rPr>
      </w:pPr>
      <w:r>
        <w:rPr>
          <w:rFonts w:hint="eastAsia" w:ascii="楷体" w:hAnsi="楷体" w:eastAsia="楷体" w:cs="楷体"/>
          <w:color w:val="auto"/>
          <w:sz w:val="32"/>
          <w:szCs w:val="32"/>
          <w:lang w:val="en-US" w:eastAsia="zh-CN"/>
        </w:rPr>
        <w:t>（一）竞赛形式。</w:t>
      </w:r>
      <w:r>
        <w:rPr>
          <w:rFonts w:hint="eastAsia" w:ascii="仿宋" w:hAnsi="仿宋" w:eastAsia="仿宋" w:cs="仿宋"/>
          <w:color w:val="auto"/>
          <w:sz w:val="32"/>
          <w:szCs w:val="32"/>
          <w:lang w:val="en-US" w:eastAsia="zh-CN"/>
        </w:rPr>
        <w:t>包括综合笔试、案例实践和知识竞答3部分。</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1.综合笔试。所有参赛队员均参加综合笔试，笔试时间60分钟。</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2.案例实践。所有参赛队员均参加案例实践。案例实践时间20分钟。</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3.知识竞答。每个参赛队3名队员同时参加。</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（二）竞赛计分。</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1.个人成绩计分。</w:t>
      </w:r>
      <w:r>
        <w:rPr>
          <w:rFonts w:hint="eastAsia" w:ascii="仿宋" w:hAnsi="仿宋" w:eastAsia="仿宋" w:cs="仿宋"/>
          <w:color w:val="auto"/>
          <w:sz w:val="32"/>
          <w:szCs w:val="32"/>
          <w:highlight w:val="none"/>
          <w:lang w:val="en-US" w:eastAsia="zh-CN"/>
        </w:rPr>
        <w:t>个人总成绩为综合笔试、案例实践、知识竞答3个部分成绩，换算成百分制后，按照30%、50%、20%的分值比例相加组成。</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2.团体成绩计分。团体决赛总成绩为综合笔试、案例实践和知识竞答3个部分成绩，换算成百分制后，按照20%、30%、50%的分值比例相加组成。</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具体安排如下：</w:t>
      </w:r>
    </w:p>
    <w:tbl>
      <w:tblPr>
        <w:tblStyle w:val="10"/>
        <w:tblW w:w="0" w:type="auto"/>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5"/>
        <w:gridCol w:w="2730"/>
        <w:gridCol w:w="2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445"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黑体" w:hAnsi="黑体" w:eastAsia="黑体" w:cs="黑体"/>
                <w:b w:val="0"/>
                <w:bCs w:val="0"/>
                <w:color w:val="auto"/>
                <w:sz w:val="32"/>
                <w:szCs w:val="32"/>
                <w:vertAlign w:val="baseline"/>
                <w:lang w:val="en-US" w:eastAsia="zh-CN"/>
              </w:rPr>
            </w:pPr>
            <w:r>
              <w:rPr>
                <w:rFonts w:hint="eastAsia" w:ascii="黑体" w:hAnsi="黑体" w:eastAsia="黑体" w:cs="黑体"/>
                <w:b w:val="0"/>
                <w:bCs w:val="0"/>
                <w:color w:val="auto"/>
                <w:sz w:val="32"/>
                <w:szCs w:val="32"/>
                <w:vertAlign w:val="baseline"/>
                <w:lang w:val="en-US" w:eastAsia="zh-CN"/>
              </w:rPr>
              <w:t>竞赛内容</w:t>
            </w:r>
          </w:p>
        </w:tc>
        <w:tc>
          <w:tcPr>
            <w:tcW w:w="2730"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黑体" w:hAnsi="黑体" w:eastAsia="黑体" w:cs="黑体"/>
                <w:b w:val="0"/>
                <w:bCs w:val="0"/>
                <w:color w:val="auto"/>
                <w:sz w:val="32"/>
                <w:szCs w:val="32"/>
                <w:vertAlign w:val="baseline"/>
                <w:lang w:val="en-US" w:eastAsia="zh-CN"/>
              </w:rPr>
            </w:pPr>
            <w:r>
              <w:rPr>
                <w:rFonts w:hint="eastAsia" w:ascii="黑体" w:hAnsi="黑体" w:eastAsia="黑体" w:cs="黑体"/>
                <w:b w:val="0"/>
                <w:bCs w:val="0"/>
                <w:color w:val="auto"/>
                <w:sz w:val="32"/>
                <w:szCs w:val="32"/>
                <w:vertAlign w:val="baseline"/>
                <w:lang w:val="en-US" w:eastAsia="zh-CN"/>
              </w:rPr>
              <w:t>个人分值比例</w:t>
            </w:r>
          </w:p>
        </w:tc>
        <w:tc>
          <w:tcPr>
            <w:tcW w:w="2993"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黑体" w:hAnsi="黑体" w:eastAsia="黑体" w:cs="黑体"/>
                <w:b w:val="0"/>
                <w:bCs w:val="0"/>
                <w:color w:val="auto"/>
                <w:sz w:val="32"/>
                <w:szCs w:val="32"/>
                <w:vertAlign w:val="baseline"/>
                <w:lang w:val="en-US" w:eastAsia="zh-CN"/>
              </w:rPr>
            </w:pPr>
            <w:r>
              <w:rPr>
                <w:rFonts w:hint="eastAsia" w:ascii="黑体" w:hAnsi="黑体" w:eastAsia="黑体" w:cs="黑体"/>
                <w:b w:val="0"/>
                <w:bCs w:val="0"/>
                <w:color w:val="auto"/>
                <w:sz w:val="32"/>
                <w:szCs w:val="32"/>
                <w:vertAlign w:val="baseline"/>
                <w:lang w:val="en-US" w:eastAsia="zh-CN"/>
              </w:rPr>
              <w:t>团体分值比例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2445"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综合笔试</w:t>
            </w:r>
          </w:p>
        </w:tc>
        <w:tc>
          <w:tcPr>
            <w:tcW w:w="2730"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30%</w:t>
            </w:r>
          </w:p>
        </w:tc>
        <w:tc>
          <w:tcPr>
            <w:tcW w:w="2993"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445"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案例实践</w:t>
            </w:r>
          </w:p>
        </w:tc>
        <w:tc>
          <w:tcPr>
            <w:tcW w:w="2730"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50%</w:t>
            </w:r>
          </w:p>
        </w:tc>
        <w:tc>
          <w:tcPr>
            <w:tcW w:w="2993"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5"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知识竞答</w:t>
            </w:r>
          </w:p>
        </w:tc>
        <w:tc>
          <w:tcPr>
            <w:tcW w:w="2730"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highlight w:val="none"/>
                <w:vertAlign w:val="baseline"/>
                <w:lang w:val="en-US" w:eastAsia="zh-CN"/>
              </w:rPr>
              <w:t>20%</w:t>
            </w:r>
          </w:p>
        </w:tc>
        <w:tc>
          <w:tcPr>
            <w:tcW w:w="2993" w:type="dxa"/>
            <w:vAlign w:val="center"/>
          </w:tcPr>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50%</w:t>
            </w:r>
          </w:p>
        </w:tc>
      </w:tr>
    </w:tbl>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color w:val="auto"/>
          <w:sz w:val="24"/>
          <w:szCs w:val="24"/>
          <w:vertAlign w:val="baseline"/>
          <w:lang w:val="en-US" w:eastAsia="zh-CN"/>
        </w:rPr>
        <w:t>注：团体总成绩=3名参赛队员的综合笔试总分÷团体综合笔试满分×100分×20%+3名参赛队员的案例实践总分÷团体案例实践满分×100分×30%+知识竞答分数÷知</w:t>
      </w:r>
      <w:r>
        <w:rPr>
          <w:rFonts w:hint="eastAsia" w:ascii="仿宋" w:hAnsi="仿宋" w:eastAsia="仿宋" w:cs="仿宋"/>
          <w:b w:val="0"/>
          <w:bCs w:val="0"/>
          <w:sz w:val="24"/>
          <w:szCs w:val="24"/>
          <w:vertAlign w:val="baseline"/>
          <w:lang w:val="en-US" w:eastAsia="zh-CN"/>
        </w:rPr>
        <w:t>识竞答团体最高分×100分×50%。</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黑体" w:cs="Times New Roman"/>
          <w:b w:val="0"/>
          <w:bCs w:val="0"/>
          <w:sz w:val="32"/>
          <w:szCs w:val="32"/>
          <w:vertAlign w:val="baseline"/>
          <w:lang w:val="en-US" w:eastAsia="zh-CN"/>
        </w:rPr>
      </w:pPr>
      <w:r>
        <w:rPr>
          <w:rFonts w:hint="eastAsia" w:ascii="Times New Roman" w:hAnsi="Times New Roman" w:eastAsia="黑体" w:cs="Times New Roman"/>
          <w:b w:val="0"/>
          <w:bCs w:val="0"/>
          <w:sz w:val="32"/>
          <w:szCs w:val="32"/>
          <w:vertAlign w:val="baseline"/>
          <w:lang w:val="en-US" w:eastAsia="zh-CN"/>
        </w:rPr>
        <w:t>七、奖项设置</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Chars="200"/>
        <w:jc w:val="left"/>
        <w:textAlignment w:val="auto"/>
        <w:rPr>
          <w:rFonts w:hint="eastAsia" w:ascii="仿宋" w:hAnsi="仿宋" w:eastAsia="仿宋" w:cs="仿宋"/>
          <w:b w:val="0"/>
          <w:bCs w:val="0"/>
          <w:sz w:val="32"/>
          <w:szCs w:val="32"/>
          <w:vertAlign w:val="baseline"/>
          <w:lang w:val="en-US" w:eastAsia="zh-CN"/>
        </w:rPr>
      </w:pPr>
      <w:r>
        <w:rPr>
          <w:rFonts w:hint="eastAsia" w:ascii="楷体" w:hAnsi="楷体" w:eastAsia="楷体" w:cs="楷体"/>
          <w:b w:val="0"/>
          <w:bCs w:val="0"/>
          <w:sz w:val="32"/>
          <w:szCs w:val="32"/>
          <w:vertAlign w:val="baseline"/>
          <w:lang w:val="en-US" w:eastAsia="zh-CN"/>
        </w:rPr>
        <w:t>（一）个人奖项。</w:t>
      </w:r>
      <w:r>
        <w:rPr>
          <w:rFonts w:hint="eastAsia" w:ascii="仿宋" w:hAnsi="仿宋" w:eastAsia="仿宋" w:cs="仿宋"/>
          <w:b w:val="0"/>
          <w:bCs w:val="0"/>
          <w:sz w:val="32"/>
          <w:szCs w:val="32"/>
          <w:vertAlign w:val="baseline"/>
          <w:lang w:val="en-US" w:eastAsia="zh-CN"/>
        </w:rPr>
        <w:t>个人总成绩第1—3名为个人一等奖，第4—6名为个人二等奖，7—10名为个人三等奖。其中总成绩第1—3名选手代表辽宁省参加全国竞赛，竞赛成绩并列时列入同一名次奖项。</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Chars="200"/>
        <w:jc w:val="left"/>
        <w:textAlignment w:val="auto"/>
        <w:rPr>
          <w:rFonts w:hint="eastAsia" w:ascii="仿宋" w:hAnsi="仿宋" w:eastAsia="仿宋" w:cs="仿宋"/>
          <w:b w:val="0"/>
          <w:bCs w:val="0"/>
          <w:sz w:val="32"/>
          <w:szCs w:val="32"/>
          <w:vertAlign w:val="baseline"/>
          <w:lang w:val="en-US" w:eastAsia="zh-CN"/>
        </w:rPr>
      </w:pPr>
      <w:r>
        <w:rPr>
          <w:rFonts w:hint="eastAsia" w:ascii="楷体" w:hAnsi="楷体" w:eastAsia="楷体" w:cs="楷体"/>
          <w:b w:val="0"/>
          <w:bCs w:val="0"/>
          <w:sz w:val="32"/>
          <w:szCs w:val="32"/>
          <w:vertAlign w:val="baseline"/>
          <w:lang w:val="en-US" w:eastAsia="zh-CN"/>
        </w:rPr>
        <w:t>（二）团体奖项。</w:t>
      </w:r>
      <w:r>
        <w:rPr>
          <w:rFonts w:hint="eastAsia" w:ascii="仿宋" w:hAnsi="仿宋" w:eastAsia="仿宋" w:cs="仿宋"/>
          <w:b w:val="0"/>
          <w:bCs w:val="0"/>
          <w:sz w:val="32"/>
          <w:szCs w:val="32"/>
          <w:vertAlign w:val="baseline"/>
          <w:lang w:val="en-US" w:eastAsia="zh-CN"/>
        </w:rPr>
        <w:t>团体总成绩第1名为团体一等奖，第2—3名为团体二等奖，第4—6名为团体三等奖，其余所有参赛队伍为团体优秀奖。竞赛成绩并列时列入同一名次奖项。</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黑体" w:cs="Times New Roman"/>
          <w:b w:val="0"/>
          <w:bCs w:val="0"/>
          <w:sz w:val="32"/>
          <w:szCs w:val="32"/>
          <w:vertAlign w:val="baseline"/>
          <w:lang w:val="en-US" w:eastAsia="zh-CN"/>
        </w:rPr>
      </w:pPr>
      <w:r>
        <w:rPr>
          <w:rFonts w:hint="eastAsia" w:ascii="Times New Roman" w:hAnsi="Times New Roman" w:eastAsia="黑体" w:cs="Times New Roman"/>
          <w:b w:val="0"/>
          <w:bCs w:val="0"/>
          <w:sz w:val="32"/>
          <w:szCs w:val="32"/>
          <w:vertAlign w:val="baseline"/>
          <w:lang w:val="en-US" w:eastAsia="zh-CN"/>
        </w:rPr>
        <w:t>八、</w:t>
      </w:r>
      <w:r>
        <w:rPr>
          <w:rFonts w:hint="default" w:ascii="Times New Roman" w:hAnsi="Times New Roman" w:eastAsia="黑体" w:cs="Times New Roman"/>
          <w:b w:val="0"/>
          <w:bCs w:val="0"/>
          <w:sz w:val="32"/>
          <w:szCs w:val="32"/>
          <w:vertAlign w:val="baseline"/>
          <w:lang w:val="en-US" w:eastAsia="zh-CN"/>
        </w:rPr>
        <w:t>省队选拔规则</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vertAlign w:val="baseline"/>
          <w:lang w:val="en-US" w:eastAsia="zh-CN"/>
        </w:rPr>
      </w:pPr>
      <w:r>
        <w:rPr>
          <w:rFonts w:hint="eastAsia" w:ascii="楷体" w:hAnsi="楷体" w:eastAsia="楷体" w:cs="楷体"/>
          <w:b w:val="0"/>
          <w:bCs w:val="0"/>
          <w:sz w:val="32"/>
          <w:szCs w:val="32"/>
          <w:vertAlign w:val="baseline"/>
          <w:lang w:val="en-US" w:eastAsia="zh-CN"/>
        </w:rPr>
        <w:t>（一）</w:t>
      </w:r>
      <w:r>
        <w:rPr>
          <w:rFonts w:hint="default" w:ascii="楷体" w:hAnsi="楷体" w:eastAsia="楷体" w:cs="楷体"/>
          <w:b w:val="0"/>
          <w:bCs w:val="0"/>
          <w:sz w:val="32"/>
          <w:szCs w:val="32"/>
          <w:vertAlign w:val="baseline"/>
          <w:lang w:val="en-US" w:eastAsia="zh-CN"/>
        </w:rPr>
        <w:t>队伍组成</w:t>
      </w:r>
      <w:r>
        <w:rPr>
          <w:rFonts w:hint="eastAsia" w:ascii="楷体" w:hAnsi="楷体" w:eastAsia="楷体" w:cs="楷体"/>
          <w:b w:val="0"/>
          <w:bCs w:val="0"/>
          <w:sz w:val="32"/>
          <w:szCs w:val="32"/>
          <w:vertAlign w:val="baseline"/>
          <w:lang w:val="en-US" w:eastAsia="zh-CN"/>
        </w:rPr>
        <w:t>。</w:t>
      </w:r>
      <w:r>
        <w:rPr>
          <w:rFonts w:hint="eastAsia" w:ascii="仿宋" w:hAnsi="仿宋" w:eastAsia="仿宋" w:cs="仿宋"/>
          <w:sz w:val="32"/>
          <w:szCs w:val="32"/>
          <w:vertAlign w:val="baseline"/>
          <w:lang w:val="en-US" w:eastAsia="zh-CN"/>
        </w:rPr>
        <w:t>辽宁省代表队由3名参赛队员、1名领队、1名联络员组成（</w:t>
      </w:r>
      <w:r>
        <w:rPr>
          <w:rFonts w:hint="eastAsia" w:ascii="仿宋" w:hAnsi="仿宋" w:eastAsia="仿宋" w:cs="仿宋"/>
          <w:sz w:val="32"/>
          <w:szCs w:val="32"/>
          <w:lang w:val="en-US" w:eastAsia="zh-CN"/>
        </w:rPr>
        <w:t>领队由省级卫生健康委分管药政工作的负责同志担任；联络员由省级卫生健康委药政食品处负责同志担任</w:t>
      </w:r>
      <w:r>
        <w:rPr>
          <w:rFonts w:hint="eastAsia" w:ascii="仿宋" w:hAnsi="仿宋" w:eastAsia="仿宋" w:cs="仿宋"/>
          <w:sz w:val="32"/>
          <w:szCs w:val="32"/>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vertAlign w:val="baseline"/>
          <w:lang w:val="en-US" w:eastAsia="zh-CN"/>
        </w:rPr>
      </w:pPr>
      <w:r>
        <w:rPr>
          <w:rFonts w:hint="eastAsia" w:ascii="楷体" w:hAnsi="楷体" w:eastAsia="楷体" w:cs="楷体"/>
          <w:b w:val="0"/>
          <w:bCs w:val="0"/>
          <w:sz w:val="32"/>
          <w:szCs w:val="32"/>
          <w:vertAlign w:val="baseline"/>
          <w:lang w:val="en-US" w:eastAsia="zh-CN"/>
        </w:rPr>
        <w:t>（二）</w:t>
      </w:r>
      <w:r>
        <w:rPr>
          <w:rFonts w:hint="default" w:ascii="楷体" w:hAnsi="楷体" w:eastAsia="楷体" w:cs="楷体"/>
          <w:b w:val="0"/>
          <w:bCs w:val="0"/>
          <w:sz w:val="32"/>
          <w:szCs w:val="32"/>
          <w:vertAlign w:val="baseline"/>
          <w:lang w:val="en-US" w:eastAsia="zh-CN"/>
        </w:rPr>
        <w:t>选拔原则</w:t>
      </w:r>
      <w:r>
        <w:rPr>
          <w:rFonts w:hint="eastAsia" w:ascii="楷体" w:hAnsi="楷体" w:eastAsia="楷体" w:cs="楷体"/>
          <w:b w:val="0"/>
          <w:bCs w:val="0"/>
          <w:sz w:val="32"/>
          <w:szCs w:val="32"/>
          <w:vertAlign w:val="baseline"/>
          <w:lang w:val="en-US" w:eastAsia="zh-CN"/>
        </w:rPr>
        <w:t>。</w:t>
      </w:r>
      <w:r>
        <w:rPr>
          <w:rFonts w:hint="eastAsia" w:ascii="仿宋" w:hAnsi="仿宋" w:eastAsia="仿宋" w:cs="仿宋"/>
          <w:sz w:val="32"/>
          <w:szCs w:val="32"/>
          <w:vertAlign w:val="baseline"/>
          <w:lang w:val="en-US" w:eastAsia="zh-CN"/>
        </w:rPr>
        <w:t>以省赛个人排名为核心依据，优先从排名靠前的优秀选手中选拔，兼顾专业均衡性与岗位适配性。3名参赛队员需满足以下硬性条件：参加过紧缺人才岗位药师培训的师资或学员不少于2人，强化队伍专业能力，适配赛事核心需求；思想政治素质过硬，无违法违纪情况，爱岗敬业，具备良好的团队协作能力与抗压能力，能够代表辽宁省药学门诊专业水平。</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楷体" w:hAnsi="楷体" w:eastAsia="楷体" w:cs="楷体"/>
          <w:b w:val="0"/>
          <w:bCs w:val="0"/>
          <w:sz w:val="32"/>
          <w:szCs w:val="32"/>
          <w:vertAlign w:val="baseline"/>
          <w:lang w:val="en-US" w:eastAsia="zh-CN"/>
        </w:rPr>
        <w:t>（三）</w:t>
      </w:r>
      <w:r>
        <w:rPr>
          <w:rFonts w:hint="default" w:ascii="楷体" w:hAnsi="楷体" w:eastAsia="楷体" w:cs="楷体"/>
          <w:b w:val="0"/>
          <w:bCs w:val="0"/>
          <w:sz w:val="32"/>
          <w:szCs w:val="32"/>
          <w:vertAlign w:val="baseline"/>
          <w:lang w:val="en-US" w:eastAsia="zh-CN"/>
        </w:rPr>
        <w:t>公示与确认</w:t>
      </w:r>
      <w:r>
        <w:rPr>
          <w:rFonts w:hint="eastAsia" w:ascii="楷体" w:hAnsi="楷体" w:eastAsia="楷体" w:cs="楷体"/>
          <w:b w:val="0"/>
          <w:bCs w:val="0"/>
          <w:sz w:val="32"/>
          <w:szCs w:val="32"/>
          <w:vertAlign w:val="baseline"/>
          <w:lang w:val="en-US" w:eastAsia="zh-CN"/>
        </w:rPr>
        <w:t>。</w:t>
      </w:r>
      <w:r>
        <w:rPr>
          <w:rFonts w:hint="eastAsia" w:ascii="仿宋" w:hAnsi="仿宋" w:eastAsia="仿宋" w:cs="仿宋"/>
          <w:sz w:val="32"/>
          <w:szCs w:val="32"/>
          <w:vertAlign w:val="baseline"/>
          <w:lang w:val="en-US" w:eastAsia="zh-CN"/>
        </w:rPr>
        <w:t>省队队员名单公示无异议后，正式确定辽宁省代表队，由工作办公室组织开展赛前集中培训，全力备战更高层级赛事。</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黑体" w:cs="Times New Roman"/>
          <w:b w:val="0"/>
          <w:bCs w:val="0"/>
          <w:sz w:val="32"/>
          <w:szCs w:val="32"/>
          <w:vertAlign w:val="baseline"/>
          <w:lang w:val="en-US" w:eastAsia="zh-CN"/>
        </w:rPr>
      </w:pPr>
      <w:r>
        <w:rPr>
          <w:rFonts w:hint="eastAsia" w:ascii="Times New Roman" w:hAnsi="Times New Roman" w:eastAsia="黑体" w:cs="Times New Roman"/>
          <w:b w:val="0"/>
          <w:bCs w:val="0"/>
          <w:sz w:val="32"/>
          <w:szCs w:val="32"/>
          <w:vertAlign w:val="baseline"/>
          <w:lang w:val="en-US" w:eastAsia="zh-CN"/>
        </w:rPr>
        <w:t>九</w:t>
      </w:r>
      <w:r>
        <w:rPr>
          <w:rFonts w:hint="default" w:ascii="Times New Roman" w:hAnsi="Times New Roman" w:eastAsia="黑体" w:cs="Times New Roman"/>
          <w:b w:val="0"/>
          <w:bCs w:val="0"/>
          <w:sz w:val="32"/>
          <w:szCs w:val="32"/>
          <w:vertAlign w:val="baseline"/>
          <w:lang w:val="en-US" w:eastAsia="zh-CN"/>
        </w:rPr>
        <w:t>、工作要求</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方正仿宋_GB2312" w:cs="Times New Roman"/>
          <w:b w:val="0"/>
          <w:bCs w:val="0"/>
          <w:sz w:val="32"/>
          <w:szCs w:val="32"/>
          <w:vertAlign w:val="baseline"/>
          <w:lang w:val="en-US" w:eastAsia="zh-CN"/>
        </w:rPr>
      </w:pPr>
      <w:r>
        <w:rPr>
          <w:rFonts w:hint="eastAsia" w:ascii="楷体" w:hAnsi="楷体" w:eastAsia="楷体" w:cs="楷体"/>
          <w:b w:val="0"/>
          <w:bCs w:val="0"/>
          <w:sz w:val="32"/>
          <w:szCs w:val="32"/>
          <w:vertAlign w:val="baseline"/>
          <w:lang w:val="en-US" w:eastAsia="zh-CN"/>
        </w:rPr>
        <w:t>（一）</w:t>
      </w:r>
      <w:r>
        <w:rPr>
          <w:rFonts w:hint="default" w:ascii="楷体" w:hAnsi="楷体" w:eastAsia="楷体" w:cs="楷体"/>
          <w:b w:val="0"/>
          <w:bCs w:val="0"/>
          <w:sz w:val="32"/>
          <w:szCs w:val="32"/>
          <w:vertAlign w:val="baseline"/>
          <w:lang w:val="en-US" w:eastAsia="zh-CN"/>
        </w:rPr>
        <w:t>高度重视，广泛动员</w:t>
      </w:r>
      <w:r>
        <w:rPr>
          <w:rFonts w:hint="eastAsia" w:ascii="楷体" w:hAnsi="楷体" w:eastAsia="楷体" w:cs="楷体"/>
          <w:b w:val="0"/>
          <w:bCs w:val="0"/>
          <w:sz w:val="32"/>
          <w:szCs w:val="32"/>
          <w:vertAlign w:val="baseline"/>
          <w:lang w:val="en-US" w:eastAsia="zh-CN"/>
        </w:rPr>
        <w:t>。</w:t>
      </w:r>
      <w:r>
        <w:rPr>
          <w:rFonts w:hint="default" w:ascii="Times New Roman" w:hAnsi="Times New Roman" w:eastAsia="方正仿宋_GB2312" w:cs="Times New Roman"/>
          <w:b w:val="0"/>
          <w:bCs w:val="0"/>
          <w:sz w:val="32"/>
          <w:szCs w:val="32"/>
          <w:vertAlign w:val="baseline"/>
          <w:lang w:val="en-US" w:eastAsia="zh-CN"/>
        </w:rPr>
        <w:t>各级医疗卫生机构要积极动员本机构药学门诊药师参赛，全力支持药师报名备考，保障药师参赛权益</w:t>
      </w:r>
      <w:r>
        <w:rPr>
          <w:rFonts w:hint="eastAsia" w:eastAsia="方正仿宋_GB2312" w:cs="Times New Roman"/>
          <w:b w:val="0"/>
          <w:bCs w:val="0"/>
          <w:sz w:val="32"/>
          <w:szCs w:val="32"/>
          <w:vertAlign w:val="baseline"/>
          <w:lang w:val="en-US" w:eastAsia="zh-CN"/>
        </w:rPr>
        <w:t>。</w:t>
      </w:r>
      <w:r>
        <w:rPr>
          <w:rFonts w:hint="default" w:ascii="Times New Roman" w:hAnsi="Times New Roman" w:eastAsia="方正仿宋_GB2312" w:cs="Times New Roman"/>
          <w:color w:val="auto"/>
          <w:sz w:val="32"/>
          <w:szCs w:val="32"/>
          <w:lang w:val="en-US" w:eastAsia="zh-CN"/>
        </w:rPr>
        <w:t>竞赛工作办公室</w:t>
      </w:r>
      <w:r>
        <w:rPr>
          <w:rFonts w:hint="default" w:ascii="Times New Roman" w:hAnsi="Times New Roman" w:eastAsia="方正仿宋_GB2312" w:cs="Times New Roman"/>
          <w:b w:val="0"/>
          <w:bCs w:val="0"/>
          <w:sz w:val="32"/>
          <w:szCs w:val="32"/>
          <w:vertAlign w:val="baseline"/>
          <w:lang w:val="en-US" w:eastAsia="zh-CN"/>
        </w:rPr>
        <w:t>全力做好统筹服务工作，确保赛事有序推进。</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方正仿宋_GB2312" w:cs="Times New Roman"/>
          <w:b w:val="0"/>
          <w:bCs w:val="0"/>
          <w:sz w:val="32"/>
          <w:szCs w:val="32"/>
          <w:vertAlign w:val="baseline"/>
          <w:lang w:val="en-US" w:eastAsia="zh-CN"/>
        </w:rPr>
      </w:pPr>
      <w:r>
        <w:rPr>
          <w:rFonts w:hint="eastAsia" w:ascii="楷体" w:hAnsi="楷体" w:eastAsia="楷体" w:cs="楷体"/>
          <w:b w:val="0"/>
          <w:bCs w:val="0"/>
          <w:sz w:val="32"/>
          <w:szCs w:val="32"/>
          <w:vertAlign w:val="baseline"/>
          <w:lang w:val="en-US" w:eastAsia="zh-CN"/>
        </w:rPr>
        <w:t>（二）</w:t>
      </w:r>
      <w:r>
        <w:rPr>
          <w:rFonts w:hint="default" w:ascii="楷体" w:hAnsi="楷体" w:eastAsia="楷体" w:cs="楷体"/>
          <w:b w:val="0"/>
          <w:bCs w:val="0"/>
          <w:sz w:val="32"/>
          <w:szCs w:val="32"/>
          <w:vertAlign w:val="baseline"/>
          <w:lang w:val="en-US" w:eastAsia="zh-CN"/>
        </w:rPr>
        <w:t>以赛促建，注重实效</w:t>
      </w:r>
      <w:r>
        <w:rPr>
          <w:rFonts w:hint="eastAsia" w:ascii="楷体" w:hAnsi="楷体" w:eastAsia="楷体" w:cs="楷体"/>
          <w:b w:val="0"/>
          <w:bCs w:val="0"/>
          <w:sz w:val="32"/>
          <w:szCs w:val="32"/>
          <w:vertAlign w:val="baseline"/>
          <w:lang w:val="en-US" w:eastAsia="zh-CN"/>
        </w:rPr>
        <w:t>。</w:t>
      </w:r>
      <w:r>
        <w:rPr>
          <w:rFonts w:hint="default" w:ascii="Times New Roman" w:hAnsi="Times New Roman" w:eastAsia="方正仿宋_GB2312" w:cs="Times New Roman"/>
          <w:b w:val="0"/>
          <w:bCs w:val="0"/>
          <w:sz w:val="32"/>
          <w:szCs w:val="32"/>
          <w:vertAlign w:val="baseline"/>
          <w:lang w:val="en-US" w:eastAsia="zh-CN"/>
        </w:rPr>
        <w:t>以竞赛为契机，全面开展药学门诊规范化培训与岗位练兵，补齐基层服务短板，提升整体服务水平，为省队选拔储备优质人才。</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方正仿宋_GB2312" w:cs="Times New Roman"/>
          <w:b w:val="0"/>
          <w:bCs w:val="0"/>
          <w:sz w:val="32"/>
          <w:szCs w:val="32"/>
          <w:vertAlign w:val="baseline"/>
          <w:lang w:val="en-US" w:eastAsia="zh-CN"/>
        </w:rPr>
      </w:pPr>
      <w:r>
        <w:rPr>
          <w:rFonts w:hint="eastAsia" w:ascii="楷体" w:hAnsi="楷体" w:eastAsia="楷体" w:cs="楷体"/>
          <w:b w:val="0"/>
          <w:bCs w:val="0"/>
          <w:sz w:val="32"/>
          <w:szCs w:val="32"/>
          <w:vertAlign w:val="baseline"/>
          <w:lang w:val="en-US" w:eastAsia="zh-CN"/>
        </w:rPr>
        <w:t>（三）</w:t>
      </w:r>
      <w:r>
        <w:rPr>
          <w:rFonts w:hint="default" w:ascii="楷体" w:hAnsi="楷体" w:eastAsia="楷体" w:cs="楷体"/>
          <w:b w:val="0"/>
          <w:bCs w:val="0"/>
          <w:sz w:val="32"/>
          <w:szCs w:val="32"/>
          <w:highlight w:val="none"/>
          <w:vertAlign w:val="baseline"/>
          <w:lang w:val="en-US" w:eastAsia="zh-CN"/>
        </w:rPr>
        <w:t>公平公正，严格纪律</w:t>
      </w:r>
      <w:r>
        <w:rPr>
          <w:rFonts w:hint="eastAsia" w:ascii="楷体" w:hAnsi="楷体" w:eastAsia="楷体" w:cs="楷体"/>
          <w:b w:val="0"/>
          <w:bCs w:val="0"/>
          <w:sz w:val="32"/>
          <w:szCs w:val="32"/>
          <w:highlight w:val="none"/>
          <w:vertAlign w:val="baseline"/>
          <w:lang w:val="en-US" w:eastAsia="zh-CN"/>
        </w:rPr>
        <w:t>。</w:t>
      </w:r>
      <w:r>
        <w:rPr>
          <w:rFonts w:hint="eastAsia" w:ascii="Times New Roman" w:hAnsi="Times New Roman" w:eastAsia="方正仿宋_GB2312" w:cs="Times New Roman"/>
          <w:b w:val="0"/>
          <w:bCs w:val="0"/>
          <w:sz w:val="32"/>
          <w:szCs w:val="32"/>
          <w:vertAlign w:val="baseline"/>
          <w:lang w:val="en-US" w:eastAsia="zh-CN"/>
        </w:rPr>
        <w:t>坚守公平公正底线，节俭廉洁办赛。</w:t>
      </w:r>
      <w:r>
        <w:rPr>
          <w:rFonts w:hint="default" w:ascii="Times New Roman" w:hAnsi="Times New Roman" w:eastAsia="方正仿宋_GB2312" w:cs="Times New Roman"/>
          <w:b w:val="0"/>
          <w:bCs w:val="0"/>
          <w:sz w:val="32"/>
          <w:szCs w:val="32"/>
          <w:vertAlign w:val="baseline"/>
          <w:lang w:val="en-US" w:eastAsia="zh-CN"/>
        </w:rPr>
        <w:t>严格执行赛事规则、计分标准与排名规则，严肃考风考纪，杜绝弄虚作假</w:t>
      </w:r>
      <w:r>
        <w:rPr>
          <w:rFonts w:hint="eastAsia" w:eastAsia="方正仿宋_GB2312" w:cs="Times New Roman"/>
          <w:b w:val="0"/>
          <w:bCs w:val="0"/>
          <w:sz w:val="32"/>
          <w:szCs w:val="32"/>
          <w:vertAlign w:val="baseline"/>
          <w:lang w:val="en-US" w:eastAsia="zh-CN"/>
        </w:rPr>
        <w:t>。</w:t>
      </w:r>
      <w:r>
        <w:rPr>
          <w:rFonts w:hint="default" w:ascii="Times New Roman" w:hAnsi="Times New Roman" w:eastAsia="方正仿宋_GB2312" w:cs="Times New Roman"/>
          <w:b w:val="0"/>
          <w:bCs w:val="0"/>
          <w:sz w:val="32"/>
          <w:szCs w:val="32"/>
          <w:vertAlign w:val="baseline"/>
          <w:lang w:val="en-US" w:eastAsia="zh-CN"/>
        </w:rPr>
        <w:t>评委严格遵守回避制度，监督委员会全程监督，确保赛事公平公正及省队选拔合规。</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方正仿宋_GB2312" w:cs="Times New Roman"/>
          <w:b w:val="0"/>
          <w:bCs w:val="0"/>
          <w:sz w:val="32"/>
          <w:szCs w:val="32"/>
          <w:vertAlign w:val="baseline"/>
          <w:lang w:val="en-US" w:eastAsia="zh-CN"/>
        </w:rPr>
      </w:pPr>
      <w:r>
        <w:rPr>
          <w:rFonts w:hint="eastAsia" w:ascii="楷体" w:hAnsi="楷体" w:eastAsia="楷体" w:cs="楷体"/>
          <w:b w:val="0"/>
          <w:bCs w:val="0"/>
          <w:sz w:val="32"/>
          <w:szCs w:val="32"/>
          <w:vertAlign w:val="baseline"/>
          <w:lang w:val="en-US" w:eastAsia="zh-CN"/>
        </w:rPr>
        <w:t>（四）</w:t>
      </w:r>
      <w:r>
        <w:rPr>
          <w:rFonts w:hint="default" w:ascii="楷体" w:hAnsi="楷体" w:eastAsia="楷体" w:cs="楷体"/>
          <w:b w:val="0"/>
          <w:bCs w:val="0"/>
          <w:sz w:val="32"/>
          <w:szCs w:val="32"/>
          <w:vertAlign w:val="baseline"/>
          <w:lang w:val="en-US" w:eastAsia="zh-CN"/>
        </w:rPr>
        <w:t>加强宣传，营造氛围</w:t>
      </w:r>
      <w:r>
        <w:rPr>
          <w:rFonts w:hint="eastAsia" w:ascii="楷体" w:hAnsi="楷体" w:eastAsia="楷体" w:cs="楷体"/>
          <w:b w:val="0"/>
          <w:bCs w:val="0"/>
          <w:sz w:val="32"/>
          <w:szCs w:val="32"/>
          <w:vertAlign w:val="baseline"/>
          <w:lang w:val="en-US" w:eastAsia="zh-CN"/>
        </w:rPr>
        <w:t>。</w:t>
      </w:r>
      <w:r>
        <w:rPr>
          <w:rFonts w:hint="default" w:ascii="Times New Roman" w:hAnsi="Times New Roman" w:eastAsia="方正仿宋_GB2312" w:cs="Times New Roman"/>
          <w:b w:val="0"/>
          <w:bCs w:val="0"/>
          <w:sz w:val="32"/>
          <w:szCs w:val="32"/>
          <w:vertAlign w:val="baseline"/>
          <w:lang w:val="en-US" w:eastAsia="zh-CN"/>
        </w:rPr>
        <w:t>充分利用媒体平台，宣传竞赛成效、优秀药师先进事迹及省队选拔进展，营造“学专业、练技能、强服务、争先进”的良好行业风尚。</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方正仿宋_GB2312" w:cs="Times New Roman"/>
          <w:b w:val="0"/>
          <w:bCs w:val="0"/>
          <w:sz w:val="32"/>
          <w:szCs w:val="32"/>
          <w:vertAlign w:val="baseline"/>
          <w:lang w:val="en-US" w:eastAsia="zh-CN"/>
        </w:rPr>
      </w:pPr>
      <w:r>
        <w:rPr>
          <w:rFonts w:hint="eastAsia" w:ascii="楷体" w:hAnsi="楷体" w:eastAsia="楷体" w:cs="楷体"/>
          <w:b w:val="0"/>
          <w:bCs w:val="0"/>
          <w:sz w:val="32"/>
          <w:szCs w:val="32"/>
          <w:vertAlign w:val="baseline"/>
          <w:lang w:val="en-US" w:eastAsia="zh-CN"/>
        </w:rPr>
        <w:t>（五）</w:t>
      </w:r>
      <w:r>
        <w:rPr>
          <w:rFonts w:hint="default" w:ascii="楷体" w:hAnsi="楷体" w:eastAsia="楷体" w:cs="楷体"/>
          <w:b w:val="0"/>
          <w:bCs w:val="0"/>
          <w:sz w:val="32"/>
          <w:szCs w:val="32"/>
          <w:vertAlign w:val="baseline"/>
          <w:lang w:val="en-US" w:eastAsia="zh-CN"/>
        </w:rPr>
        <w:t>总结推广，长效机制</w:t>
      </w:r>
      <w:r>
        <w:rPr>
          <w:rFonts w:hint="eastAsia" w:ascii="楷体" w:hAnsi="楷体" w:eastAsia="楷体" w:cs="楷体"/>
          <w:b w:val="0"/>
          <w:bCs w:val="0"/>
          <w:sz w:val="32"/>
          <w:szCs w:val="32"/>
          <w:vertAlign w:val="baseline"/>
          <w:lang w:val="en-US" w:eastAsia="zh-CN"/>
        </w:rPr>
        <w:t>。</w:t>
      </w:r>
      <w:r>
        <w:rPr>
          <w:rFonts w:hint="default" w:ascii="Times New Roman" w:hAnsi="Times New Roman" w:eastAsia="方正仿宋_GB2312" w:cs="Times New Roman"/>
          <w:b w:val="0"/>
          <w:bCs w:val="0"/>
          <w:sz w:val="32"/>
          <w:szCs w:val="32"/>
          <w:vertAlign w:val="baseline"/>
          <w:lang w:val="en-US" w:eastAsia="zh-CN"/>
        </w:rPr>
        <w:t>赛后全面总结经验做法，梳理优秀案例与典型模式，形成可复制、可推广的药学门诊服务规范，建立“以赛促训、以训促建、以赛选才”的长效机制。</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eastAsia="方正仿宋_GB2312" w:cs="Times New Roman"/>
          <w:sz w:val="32"/>
          <w:szCs w:val="32"/>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lang w:eastAsia="zh-CN"/>
        </w:rPr>
        <w:t>附录</w:t>
      </w:r>
      <w:r>
        <w:rPr>
          <w:rFonts w:hint="eastAsia" w:eastAsia="方正仿宋_GB2312" w:cs="Times New Roman"/>
          <w:sz w:val="32"/>
          <w:szCs w:val="32"/>
          <w:vertAlign w:val="baseline"/>
          <w:lang w:val="en-US" w:eastAsia="zh-CN"/>
        </w:rPr>
        <w:t>：</w:t>
      </w:r>
      <w:r>
        <w:rPr>
          <w:rFonts w:hint="eastAsia" w:ascii="仿宋" w:hAnsi="仿宋" w:eastAsia="仿宋" w:cs="仿宋"/>
          <w:sz w:val="32"/>
          <w:szCs w:val="32"/>
          <w:vertAlign w:val="baseline"/>
          <w:lang w:val="en-US" w:eastAsia="zh-CN"/>
        </w:rPr>
        <w:t>1. 药学（药学门诊方向）技能竞赛命题大纲</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 xml:space="preserve">      2. 省级竞赛参赛人员资格审核表</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 xml:space="preserve">      3. 省级竞赛参赛人员信息汇总表</w:t>
      </w:r>
    </w:p>
    <w:p>
      <w:pPr>
        <w:rPr>
          <w:rFonts w:hint="default" w:ascii="Times New Roman" w:hAnsi="Times New Roman" w:eastAsia="黑体" w:cs="Times New Roman"/>
          <w:b w:val="0"/>
          <w:bCs w:val="0"/>
          <w:sz w:val="32"/>
          <w:szCs w:val="32"/>
          <w:vertAlign w:val="baseline"/>
          <w:lang w:val="en-US" w:eastAsia="zh-CN"/>
        </w:rPr>
      </w:pPr>
      <w:r>
        <w:rPr>
          <w:rFonts w:hint="default" w:ascii="Times New Roman" w:hAnsi="Times New Roman" w:eastAsia="黑体" w:cs="Times New Roman"/>
          <w:b w:val="0"/>
          <w:bCs w:val="0"/>
          <w:sz w:val="32"/>
          <w:szCs w:val="32"/>
          <w:vertAlign w:val="baseline"/>
          <w:lang w:val="en-US" w:eastAsia="zh-CN"/>
        </w:rPr>
        <w:br w:type="page"/>
      </w:r>
    </w:p>
    <w:p>
      <w:pPr>
        <w:pStyle w:val="5"/>
        <w:spacing w:before="139" w:line="209" w:lineRule="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附录</w:t>
      </w:r>
      <w:r>
        <w:rPr>
          <w:rFonts w:hint="default" w:ascii="Times New Roman" w:hAnsi="Times New Roman" w:eastAsia="黑体" w:cs="Times New Roman"/>
          <w:sz w:val="32"/>
          <w:szCs w:val="32"/>
        </w:rPr>
        <w:t>1</w:t>
      </w:r>
    </w:p>
    <w:p>
      <w:pPr>
        <w:spacing w:line="360" w:lineRule="auto"/>
        <w:jc w:val="both"/>
        <w:rPr>
          <w:rFonts w:hint="eastAsia" w:ascii="方正小标宋简体" w:hAnsi="方正小标宋简体" w:eastAsia="方正小标宋简体" w:cs="方正小标宋简体"/>
          <w:b w:val="0"/>
          <w:bCs w:val="0"/>
          <w:sz w:val="32"/>
          <w:szCs w:val="32"/>
          <w:vertAlign w:val="baseline"/>
          <w:lang w:val="en-US" w:eastAsia="zh-CN"/>
        </w:rPr>
      </w:pPr>
    </w:p>
    <w:p>
      <w:pPr>
        <w:spacing w:line="360" w:lineRule="auto"/>
        <w:jc w:val="center"/>
        <w:rPr>
          <w:rFonts w:hint="eastAsia" w:ascii="方正小标宋简体" w:hAnsi="方正小标宋简体" w:eastAsia="方正小标宋简体" w:cs="方正小标宋简体"/>
          <w:b w:val="0"/>
          <w:bCs w:val="0"/>
          <w:sz w:val="44"/>
          <w:szCs w:val="44"/>
          <w:vertAlign w:val="baseline"/>
          <w:lang w:val="en-US" w:eastAsia="zh-CN"/>
        </w:rPr>
      </w:pPr>
      <w:r>
        <w:rPr>
          <w:rFonts w:hint="eastAsia" w:ascii="方正小标宋简体" w:hAnsi="方正小标宋简体" w:eastAsia="方正小标宋简体" w:cs="方正小标宋简体"/>
          <w:b w:val="0"/>
          <w:bCs w:val="0"/>
          <w:sz w:val="44"/>
          <w:szCs w:val="44"/>
          <w:vertAlign w:val="baseline"/>
          <w:lang w:val="en-US" w:eastAsia="zh-CN"/>
        </w:rPr>
        <w:t>药学（药学门诊方向）技能竞赛命题大纲</w:t>
      </w:r>
    </w:p>
    <w:p>
      <w:pPr>
        <w:spacing w:line="360" w:lineRule="auto"/>
        <w:rPr>
          <w:rFonts w:hint="eastAsia" w:ascii="仿宋" w:hAnsi="仿宋" w:eastAsia="仿宋" w:cs="仿宋"/>
          <w:b/>
          <w:bCs/>
          <w:sz w:val="30"/>
          <w:szCs w:val="30"/>
          <w:vertAlign w:val="baseline"/>
          <w:lang w:val="en-US" w:eastAsia="zh-CN"/>
        </w:rPr>
      </w:pPr>
      <w:r>
        <w:rPr>
          <w:rFonts w:hint="eastAsia" w:ascii="仿宋" w:hAnsi="仿宋" w:eastAsia="仿宋" w:cs="仿宋"/>
          <w:sz w:val="30"/>
          <w:szCs w:val="30"/>
          <w:vertAlign w:val="baseline"/>
          <w:lang w:val="en-US" w:eastAsia="zh-CN"/>
        </w:rPr>
        <w:t>鉴于竞赛属于优中选优，竞赛命题范围包括但不限于以下内容。</w:t>
      </w:r>
    </w:p>
    <w:tbl>
      <w:tblPr>
        <w:tblStyle w:val="10"/>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9"/>
        <w:gridCol w:w="2121"/>
        <w:gridCol w:w="5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059" w:type="dxa"/>
            <w:vAlign w:val="center"/>
          </w:tcPr>
          <w:p>
            <w:pPr>
              <w:spacing w:line="240" w:lineRule="auto"/>
              <w:jc w:val="center"/>
              <w:rPr>
                <w:rFonts w:hint="eastAsia" w:ascii="黑体" w:hAnsi="黑体" w:eastAsia="黑体" w:cs="黑体"/>
                <w:b w:val="0"/>
                <w:bCs w:val="0"/>
                <w:sz w:val="28"/>
                <w:szCs w:val="28"/>
                <w:vertAlign w:val="baseline"/>
                <w:lang w:val="en-US" w:eastAsia="zh-CN"/>
              </w:rPr>
            </w:pPr>
            <w:r>
              <w:rPr>
                <w:rFonts w:hint="eastAsia" w:ascii="黑体" w:hAnsi="黑体" w:eastAsia="黑体" w:cs="黑体"/>
                <w:b w:val="0"/>
                <w:bCs w:val="0"/>
                <w:sz w:val="28"/>
                <w:szCs w:val="28"/>
                <w:vertAlign w:val="baseline"/>
                <w:lang w:val="en-US" w:eastAsia="zh-CN"/>
              </w:rPr>
              <w:t>内容</w:t>
            </w:r>
          </w:p>
          <w:p>
            <w:pPr>
              <w:spacing w:line="240" w:lineRule="auto"/>
              <w:jc w:val="center"/>
              <w:rPr>
                <w:rFonts w:hint="eastAsia" w:ascii="黑体" w:hAnsi="黑体" w:eastAsia="黑体" w:cs="黑体"/>
                <w:b w:val="0"/>
                <w:bCs w:val="0"/>
                <w:sz w:val="28"/>
                <w:szCs w:val="28"/>
                <w:vertAlign w:val="baseline"/>
                <w:lang w:val="en-US" w:eastAsia="zh-CN"/>
              </w:rPr>
            </w:pPr>
            <w:r>
              <w:rPr>
                <w:rFonts w:hint="eastAsia" w:ascii="黑体" w:hAnsi="黑体" w:eastAsia="黑体" w:cs="黑体"/>
                <w:b w:val="0"/>
                <w:bCs w:val="0"/>
                <w:sz w:val="28"/>
                <w:szCs w:val="28"/>
                <w:vertAlign w:val="baseline"/>
                <w:lang w:val="en-US" w:eastAsia="zh-CN"/>
              </w:rPr>
              <w:t>分类</w:t>
            </w:r>
          </w:p>
        </w:tc>
        <w:tc>
          <w:tcPr>
            <w:tcW w:w="2121" w:type="dxa"/>
            <w:vAlign w:val="center"/>
          </w:tcPr>
          <w:p>
            <w:pPr>
              <w:spacing w:line="240" w:lineRule="auto"/>
              <w:jc w:val="center"/>
              <w:rPr>
                <w:rFonts w:hint="eastAsia" w:ascii="黑体" w:hAnsi="黑体" w:eastAsia="黑体" w:cs="黑体"/>
                <w:b w:val="0"/>
                <w:bCs w:val="0"/>
                <w:sz w:val="28"/>
                <w:szCs w:val="28"/>
                <w:vertAlign w:val="baseline"/>
                <w:lang w:val="en-US" w:eastAsia="zh-CN"/>
              </w:rPr>
            </w:pPr>
            <w:r>
              <w:rPr>
                <w:rFonts w:hint="eastAsia" w:ascii="黑体" w:hAnsi="黑体" w:eastAsia="黑体" w:cs="黑体"/>
                <w:b w:val="0"/>
                <w:bCs w:val="0"/>
                <w:sz w:val="28"/>
                <w:szCs w:val="28"/>
                <w:vertAlign w:val="baseline"/>
                <w:lang w:val="en-US" w:eastAsia="zh-CN"/>
              </w:rPr>
              <w:t>细目</w:t>
            </w:r>
          </w:p>
        </w:tc>
        <w:tc>
          <w:tcPr>
            <w:tcW w:w="5659" w:type="dxa"/>
            <w:vAlign w:val="center"/>
          </w:tcPr>
          <w:p>
            <w:pPr>
              <w:spacing w:line="240" w:lineRule="auto"/>
              <w:jc w:val="center"/>
              <w:rPr>
                <w:rFonts w:hint="eastAsia" w:ascii="黑体" w:hAnsi="黑体" w:eastAsia="黑体" w:cs="黑体"/>
                <w:b w:val="0"/>
                <w:bCs w:val="0"/>
                <w:sz w:val="28"/>
                <w:szCs w:val="28"/>
                <w:vertAlign w:val="baseline"/>
                <w:lang w:val="en-US" w:eastAsia="zh-CN"/>
              </w:rPr>
            </w:pPr>
            <w:r>
              <w:rPr>
                <w:rFonts w:hint="eastAsia" w:ascii="黑体" w:hAnsi="黑体" w:eastAsia="黑体" w:cs="黑体"/>
                <w:b w:val="0"/>
                <w:bCs w:val="0"/>
                <w:sz w:val="28"/>
                <w:szCs w:val="28"/>
                <w:vertAlign w:val="baseline"/>
                <w:lang w:val="en-US" w:eastAsia="zh-CN"/>
              </w:rPr>
              <w:t>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059" w:type="dxa"/>
            <w:vMerge w:val="restart"/>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政策规范</w:t>
            </w:r>
          </w:p>
        </w:tc>
        <w:tc>
          <w:tcPr>
            <w:tcW w:w="2121" w:type="dxa"/>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法律法规、规章及规范性文件</w:t>
            </w: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中华人民共和国基本医疗卫生与健康促进法》、《中华人民共和国药品管理法》、《药品管理法实施条例》、《麻醉药品和精神药品管理条例》、《处方管理办法》、《医疗机构药事管理规定》、《药物临床试验质量管理规范》、《抗菌药物临床应用管理办法》、《药品不良反应报告和监测管理办法》、《抗菌药物临床应用指导原则》、《国家基本药物目录管理办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Merge w:val="restart"/>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行业规范与标准</w:t>
            </w: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医疗机构药学门诊服务规范政策解读等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《医疗机构药事管理与药学服务》团体标准等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59" w:type="dxa"/>
            <w:vMerge w:val="restart"/>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基础知识</w:t>
            </w:r>
          </w:p>
        </w:tc>
        <w:tc>
          <w:tcPr>
            <w:tcW w:w="2121" w:type="dxa"/>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药物治疗学</w:t>
            </w: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各系统典型药物与临床常用药品，疾病治疗基本原则、药物治疗原则、治疗方案选择优化、剂量调整；药物相互作用识别与处理；配伍禁忌判断与规避；不良反应识别与处理；特殊人群用药特点与调整；抗菌药物等级管理、围手术期用药；慢病药物治疗管理；治疗原则、用药评估与药物重整、用药方案优化；常用医学检验指标、检查结果及其临床意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治疗药物监测与药物基因组学</w:t>
            </w: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需要治疗药物监测的药物及药物基因组在药物治疗中的应用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药信息学</w:t>
            </w: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药学信息服务常用资料、药学信息检索法、药学信息质量判断、药学信息的管理；药品说明书解读、药物警戒、药品质量评价、循证药学在药学实践中的应用等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59" w:type="dxa"/>
            <w:vMerge w:val="restart"/>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案例实践</w:t>
            </w:r>
          </w:p>
        </w:tc>
        <w:tc>
          <w:tcPr>
            <w:tcW w:w="2121" w:type="dxa"/>
            <w:vMerge w:val="restart"/>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药学门诊服务流程</w:t>
            </w: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信息收集：通过问诊、查阅患者病历等方式收集患者基本信息、疾病信息、用药信息，需求信息等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用药评估：从用药适应症、安全性、有效性、经济性、依从性等方面进行评估，基于循证医学证据及患者具体情况进行的综合分析；药物治疗方案优化、药物不良反应的防范处理等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药物重整：根据诊断及采集的用药信息，用药评估、提出用药调整建议，建立药物重整档案等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用药教育：通过口头、书面材料、实物演示等方式进行用药教育，包括药品的适应症、禁忌症、用法用量、用药时间、用药疗程、注意事项、正确使用装置、药品不良反应以及生活方式指导、药品贮存与保管等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用药咨询：用药咨询方法与流程，用药咨询原则，包括药品相关信息，特殊装置、特殊剂型的使用方法，使用药品的注意事项，药品不良反应，药物相互作用，特殊人群用药、药物漏服补救措施及解答患者提出的其他用药疑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患者随访：包括药物治疗目标评价、是否出现新的药物治疗相关问题、是否发生药物不良反应、用药依从性、随访结果等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患者用药文书</w:t>
            </w: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药学门诊药历记录内容与书写规范、用药档案管理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药学门诊服务技能</w:t>
            </w: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综合药学门诊服务技能；专科/专病药学门诊服务技能；多学科联合诊疗服务技能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信息检索</w:t>
            </w: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药物信息资源的获取途径和检索技巧，文献检索工具的利用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1059" w:type="dxa"/>
            <w:vMerge w:val="continue"/>
            <w:vAlign w:val="center"/>
          </w:tcPr>
          <w:p>
            <w:pPr>
              <w:spacing w:line="240" w:lineRule="auto"/>
              <w:jc w:val="center"/>
              <w:rPr>
                <w:rFonts w:hint="eastAsia" w:ascii="仿宋" w:hAnsi="仿宋" w:eastAsia="仿宋" w:cs="仿宋"/>
                <w:b w:val="0"/>
                <w:bCs w:val="0"/>
                <w:sz w:val="28"/>
                <w:szCs w:val="28"/>
                <w:vertAlign w:val="baseline"/>
                <w:lang w:val="en-US" w:eastAsia="zh-CN"/>
              </w:rPr>
            </w:pPr>
          </w:p>
        </w:tc>
        <w:tc>
          <w:tcPr>
            <w:tcW w:w="2121" w:type="dxa"/>
            <w:vAlign w:val="center"/>
          </w:tcPr>
          <w:p>
            <w:pPr>
              <w:spacing w:line="240" w:lineRule="auto"/>
              <w:jc w:val="center"/>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人文沟通</w:t>
            </w:r>
          </w:p>
        </w:tc>
        <w:tc>
          <w:tcPr>
            <w:tcW w:w="5659" w:type="dxa"/>
            <w:vAlign w:val="center"/>
          </w:tcPr>
          <w:p>
            <w:pPr>
              <w:spacing w:line="240" w:lineRule="auto"/>
              <w:jc w:val="both"/>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医患沟通的基本原则和技巧</w:t>
            </w:r>
          </w:p>
        </w:tc>
      </w:tr>
    </w:tbl>
    <w:p>
      <w:pPr>
        <w:spacing w:line="360" w:lineRule="auto"/>
        <w:rPr>
          <w:rFonts w:hint="default" w:ascii="Times New Roman" w:hAnsi="Times New Roman" w:eastAsia="黑体" w:cs="Times New Roman"/>
          <w:b w:val="0"/>
          <w:bCs w:val="0"/>
          <w:sz w:val="32"/>
          <w:szCs w:val="32"/>
          <w:vertAlign w:val="baseline"/>
          <w:lang w:val="en-US" w:eastAsia="zh-CN"/>
        </w:rPr>
      </w:pPr>
    </w:p>
    <w:p>
      <w:pPr>
        <w:spacing w:line="360" w:lineRule="auto"/>
        <w:rPr>
          <w:rFonts w:hint="default" w:ascii="Times New Roman" w:hAnsi="Times New Roman" w:eastAsia="黑体" w:cs="Times New Roman"/>
          <w:b w:val="0"/>
          <w:bCs w:val="0"/>
          <w:sz w:val="32"/>
          <w:szCs w:val="32"/>
          <w:vertAlign w:val="baseline"/>
          <w:lang w:val="en-US" w:eastAsia="zh-CN"/>
        </w:rPr>
      </w:pPr>
    </w:p>
    <w:p>
      <w:pPr>
        <w:spacing w:line="360" w:lineRule="auto"/>
        <w:rPr>
          <w:rFonts w:hint="default" w:ascii="Times New Roman" w:hAnsi="Times New Roman" w:eastAsia="黑体" w:cs="Times New Roman"/>
          <w:b w:val="0"/>
          <w:bCs w:val="0"/>
          <w:sz w:val="32"/>
          <w:szCs w:val="32"/>
          <w:vertAlign w:val="baseline"/>
          <w:lang w:val="en-US" w:eastAsia="zh-CN"/>
        </w:rPr>
      </w:pPr>
      <w:r>
        <w:rPr>
          <w:rFonts w:hint="default" w:ascii="Times New Roman" w:hAnsi="Times New Roman" w:eastAsia="黑体" w:cs="Times New Roman"/>
          <w:b w:val="0"/>
          <w:bCs w:val="0"/>
          <w:sz w:val="32"/>
          <w:szCs w:val="32"/>
          <w:vertAlign w:val="baseline"/>
          <w:lang w:val="en-US" w:eastAsia="zh-CN"/>
        </w:rPr>
        <w:t>参考书目：</w:t>
      </w:r>
    </w:p>
    <w:p>
      <w:pPr>
        <w:spacing w:line="360" w:lineRule="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1.《临床药物治疗学》丛书。</w:t>
      </w:r>
    </w:p>
    <w:p>
      <w:pPr>
        <w:spacing w:line="360" w:lineRule="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2.《抗菌药物临床应用指导原则》（《抗菌药物临床应用指导原则》修订工作组.人民卫生出版社出版，2015）。</w:t>
      </w:r>
    </w:p>
    <w:p>
      <w:pPr>
        <w:spacing w:line="360" w:lineRule="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3.有关标准或共识。</w:t>
      </w:r>
    </w:p>
    <w:p>
      <w:pPr>
        <w:spacing w:line="360" w:lineRule="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4.《热病桑德福抗微生物治疗指南》（戴卫吉尔伯特主编.范洪伟译.人民卫生出版社出版，2026）。</w:t>
      </w:r>
    </w:p>
    <w:p>
      <w:pPr>
        <w:spacing w:line="360" w:lineRule="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5.《临床药师工作手册》（哮喘治疗 游一中，葛卫红主编.人民卫生出版社出版，2020；抗栓治疗 葛卫红，徐航主编.人民卫生出版社出版，2019；疼痛管理 葛卫红主编.人民卫生出版社出版，2021）。</w:t>
      </w:r>
    </w:p>
    <w:p>
      <w:pPr>
        <w:spacing w:line="360" w:lineRule="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6.临床常用药品说明书。</w:t>
      </w:r>
    </w:p>
    <w:p>
      <w:pPr>
        <w:rPr>
          <w:rFonts w:hint="default" w:ascii="Times New Roman" w:hAnsi="Times New Roman" w:eastAsia="方正仿宋_GB2312" w:cs="Times New Roman"/>
          <w:sz w:val="32"/>
          <w:szCs w:val="32"/>
          <w:lang w:eastAsia="zh-CN"/>
        </w:rPr>
      </w:pPr>
      <w:r>
        <w:rPr>
          <w:rFonts w:hint="default" w:ascii="Times New Roman" w:hAnsi="Times New Roman" w:eastAsia="方正仿宋_GB2312" w:cs="Times New Roman"/>
          <w:sz w:val="32"/>
          <w:szCs w:val="32"/>
          <w:lang w:eastAsia="zh-CN"/>
        </w:rPr>
        <w:br w:type="page"/>
      </w:r>
    </w:p>
    <w:p>
      <w:pPr>
        <w:pStyle w:val="5"/>
        <w:spacing w:before="139" w:line="209" w:lineRule="auto"/>
        <w:rPr>
          <w:rFonts w:hint="default" w:ascii="Times New Roman" w:hAnsi="Times New Roman" w:eastAsia="黑体" w:cs="Times New Roman"/>
          <w:sz w:val="32"/>
          <w:szCs w:val="32"/>
          <w:lang w:val="en-US"/>
        </w:rPr>
      </w:pPr>
      <w:r>
        <w:rPr>
          <w:rFonts w:hint="eastAsia" w:ascii="Times New Roman" w:hAnsi="Times New Roman" w:eastAsia="黑体" w:cs="Times New Roman"/>
          <w:sz w:val="32"/>
          <w:szCs w:val="32"/>
          <w:lang w:eastAsia="zh-CN"/>
        </w:rPr>
        <w:t>附录</w:t>
      </w:r>
      <w:r>
        <w:rPr>
          <w:rFonts w:hint="eastAsia" w:ascii="Times New Roman" w:hAnsi="Times New Roman" w:eastAsia="黑体" w:cs="Times New Roman"/>
          <w:sz w:val="32"/>
          <w:szCs w:val="32"/>
          <w:lang w:val="en-US" w:eastAsia="zh-CN"/>
        </w:rPr>
        <w:t>2</w:t>
      </w:r>
    </w:p>
    <w:p>
      <w:pPr>
        <w:spacing w:line="360" w:lineRule="auto"/>
        <w:rPr>
          <w:rFonts w:hint="default" w:ascii="仿宋" w:hAnsi="仿宋" w:eastAsia="仿宋" w:cs="仿宋"/>
          <w:b/>
          <w:bCs/>
          <w:sz w:val="32"/>
          <w:szCs w:val="32"/>
          <w:vertAlign w:val="baseline"/>
          <w:lang w:val="en-US" w:eastAsia="zh-CN"/>
        </w:rPr>
      </w:pPr>
    </w:p>
    <w:p>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省级竞赛</w:t>
      </w:r>
      <w:r>
        <w:rPr>
          <w:rFonts w:hint="eastAsia" w:ascii="方正小标宋简体" w:hAnsi="方正小标宋简体" w:eastAsia="方正小标宋简体" w:cs="方正小标宋简体"/>
          <w:b w:val="0"/>
          <w:bCs w:val="0"/>
          <w:sz w:val="44"/>
          <w:szCs w:val="44"/>
          <w:lang w:val="en-US" w:eastAsia="zh-CN"/>
        </w:rPr>
        <w:t>参赛</w:t>
      </w:r>
      <w:r>
        <w:rPr>
          <w:rFonts w:hint="eastAsia" w:ascii="方正小标宋简体" w:hAnsi="方正小标宋简体" w:eastAsia="方正小标宋简体" w:cs="方正小标宋简体"/>
          <w:b w:val="0"/>
          <w:bCs w:val="0"/>
          <w:sz w:val="44"/>
          <w:szCs w:val="44"/>
        </w:rPr>
        <w:t>人员资格审核表</w:t>
      </w:r>
    </w:p>
    <w:p>
      <w:pPr>
        <w:keepNext w:val="0"/>
        <w:keepLines w:val="0"/>
        <w:pageBreakBefore w:val="0"/>
        <w:widowControl w:val="0"/>
        <w:kinsoku/>
        <w:wordWrap/>
        <w:overflowPunct/>
        <w:topLinePunct w:val="0"/>
        <w:autoSpaceDE/>
        <w:autoSpaceDN/>
        <w:bidi w:val="0"/>
        <w:adjustRightInd/>
        <w:snapToGrid/>
        <w:spacing w:before="91" w:after="361" w:afterLines="100" w:line="219" w:lineRule="auto"/>
        <w:ind w:left="62"/>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pacing w:val="-2"/>
          <w:sz w:val="32"/>
          <w:szCs w:val="32"/>
          <w:lang w:val="en-US" w:eastAsia="zh-CN"/>
        </w:rPr>
        <w:t>报送</w:t>
      </w:r>
      <w:r>
        <w:rPr>
          <w:rFonts w:hint="default" w:ascii="Times New Roman" w:hAnsi="Times New Roman" w:eastAsia="方正仿宋_GB2312" w:cs="Times New Roman"/>
          <w:spacing w:val="-2"/>
          <w:sz w:val="32"/>
          <w:szCs w:val="32"/>
        </w:rPr>
        <w:t>单位</w:t>
      </w:r>
      <w:r>
        <w:rPr>
          <w:rFonts w:hint="default" w:ascii="Times New Roman" w:hAnsi="Times New Roman" w:eastAsia="方正仿宋_GB2312" w:cs="Times New Roman"/>
          <w:spacing w:val="-84"/>
          <w:sz w:val="32"/>
          <w:szCs w:val="32"/>
        </w:rPr>
        <w:t>：</w:t>
      </w:r>
    </w:p>
    <w:tbl>
      <w:tblPr>
        <w:tblStyle w:val="14"/>
        <w:tblW w:w="82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4"/>
        <w:gridCol w:w="538"/>
        <w:gridCol w:w="1243"/>
        <w:gridCol w:w="1337"/>
        <w:gridCol w:w="1925"/>
        <w:gridCol w:w="21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124" w:type="dxa"/>
            <w:tcBorders>
              <w:top w:val="single" w:color="000000" w:sz="4" w:space="0"/>
              <w:left w:val="single" w:color="000000" w:sz="4" w:space="0"/>
              <w:bottom w:val="single" w:color="000000" w:sz="4" w:space="0"/>
              <w:right w:val="single" w:color="000000" w:sz="4" w:space="0"/>
            </w:tcBorders>
          </w:tcPr>
          <w:p>
            <w:pPr>
              <w:pStyle w:val="13"/>
              <w:spacing w:before="177" w:line="220" w:lineRule="auto"/>
              <w:ind w:left="291"/>
              <w:rPr>
                <w:rFonts w:hint="default" w:ascii="Times New Roman" w:hAnsi="Times New Roman" w:eastAsia="方正仿宋_GB2312" w:cs="Times New Roman"/>
                <w:sz w:val="32"/>
                <w:szCs w:val="32"/>
              </w:rPr>
            </w:pPr>
            <w:r>
              <w:rPr>
                <w:rFonts w:hint="default" w:ascii="Times New Roman" w:hAnsi="Times New Roman" w:eastAsia="方正仿宋_GB2312" w:cs="Times New Roman"/>
                <w:spacing w:val="-5"/>
                <w:sz w:val="32"/>
                <w:szCs w:val="32"/>
              </w:rPr>
              <w:t>姓名</w:t>
            </w:r>
          </w:p>
        </w:tc>
        <w:tc>
          <w:tcPr>
            <w:tcW w:w="1781" w:type="dxa"/>
            <w:gridSpan w:val="2"/>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eastAsia="方正仿宋_GB2312" w:cs="Times New Roman"/>
                <w:sz w:val="32"/>
                <w:szCs w:val="32"/>
              </w:rPr>
            </w:pPr>
          </w:p>
        </w:tc>
        <w:tc>
          <w:tcPr>
            <w:tcW w:w="1337" w:type="dxa"/>
            <w:tcBorders>
              <w:top w:val="single" w:color="000000" w:sz="4" w:space="0"/>
              <w:left w:val="single" w:color="000000" w:sz="4" w:space="0"/>
              <w:bottom w:val="single" w:color="000000" w:sz="4" w:space="0"/>
              <w:right w:val="single" w:color="000000" w:sz="4" w:space="0"/>
            </w:tcBorders>
          </w:tcPr>
          <w:p>
            <w:pPr>
              <w:pStyle w:val="13"/>
              <w:spacing w:before="176" w:line="216" w:lineRule="auto"/>
              <w:ind w:left="348"/>
              <w:rPr>
                <w:rFonts w:hint="default" w:ascii="Times New Roman" w:hAnsi="Times New Roman" w:eastAsia="方正仿宋_GB2312" w:cs="Times New Roman"/>
                <w:sz w:val="32"/>
                <w:szCs w:val="32"/>
              </w:rPr>
            </w:pPr>
            <w:r>
              <w:rPr>
                <w:rFonts w:hint="default" w:ascii="Times New Roman" w:hAnsi="Times New Roman" w:eastAsia="方正仿宋_GB2312" w:cs="Times New Roman"/>
                <w:spacing w:val="-8"/>
                <w:sz w:val="32"/>
                <w:szCs w:val="32"/>
              </w:rPr>
              <w:t>性别</w:t>
            </w:r>
          </w:p>
        </w:tc>
        <w:tc>
          <w:tcPr>
            <w:tcW w:w="1925" w:type="dxa"/>
            <w:tcBorders>
              <w:top w:val="single" w:color="000000" w:sz="4" w:space="0"/>
              <w:left w:val="single" w:color="000000" w:sz="4" w:space="0"/>
              <w:bottom w:val="single" w:color="000000" w:sz="4" w:space="0"/>
              <w:right w:val="single" w:color="000000" w:sz="4" w:space="0"/>
            </w:tcBorders>
          </w:tcPr>
          <w:p>
            <w:pPr>
              <w:jc w:val="center"/>
              <w:rPr>
                <w:rFonts w:hint="default" w:ascii="Times New Roman" w:hAnsi="Times New Roman" w:eastAsia="方正仿宋_GB2312" w:cs="Times New Roman"/>
                <w:sz w:val="32"/>
                <w:szCs w:val="32"/>
              </w:rPr>
            </w:pPr>
          </w:p>
        </w:tc>
        <w:tc>
          <w:tcPr>
            <w:tcW w:w="2125" w:type="dxa"/>
            <w:vMerge w:val="restart"/>
            <w:tcBorders>
              <w:top w:val="single" w:color="000000" w:sz="4" w:space="0"/>
              <w:left w:val="single" w:color="000000" w:sz="4" w:space="0"/>
              <w:bottom w:val="single" w:color="000000" w:sz="4" w:space="0"/>
              <w:right w:val="single" w:color="000000" w:sz="4" w:space="0"/>
            </w:tcBorders>
          </w:tcPr>
          <w:p>
            <w:pPr>
              <w:spacing w:line="246" w:lineRule="auto"/>
              <w:jc w:val="center"/>
              <w:rPr>
                <w:rFonts w:hint="default" w:ascii="Times New Roman" w:hAnsi="Times New Roman" w:eastAsia="方正仿宋_GB2312" w:cs="Times New Roman"/>
                <w:sz w:val="32"/>
                <w:szCs w:val="32"/>
              </w:rPr>
            </w:pPr>
          </w:p>
          <w:p>
            <w:pPr>
              <w:spacing w:line="247" w:lineRule="auto"/>
              <w:jc w:val="center"/>
              <w:rPr>
                <w:rFonts w:hint="default" w:ascii="Times New Roman" w:hAnsi="Times New Roman" w:eastAsia="方正仿宋_GB2312" w:cs="Times New Roman"/>
                <w:sz w:val="32"/>
                <w:szCs w:val="32"/>
              </w:rPr>
            </w:pPr>
          </w:p>
          <w:p>
            <w:pPr>
              <w:spacing w:line="247" w:lineRule="auto"/>
              <w:jc w:val="center"/>
              <w:rPr>
                <w:rFonts w:hint="default" w:ascii="Times New Roman" w:hAnsi="Times New Roman" w:eastAsia="方正仿宋_GB2312" w:cs="Times New Roman"/>
                <w:sz w:val="24"/>
                <w:szCs w:val="24"/>
              </w:rPr>
            </w:pPr>
            <w:r>
              <w:rPr>
                <w:rFonts w:hint="default" w:ascii="Times New Roman" w:hAnsi="Times New Roman" w:eastAsia="方正仿宋_GB2312" w:cs="Times New Roman"/>
                <w:spacing w:val="-24"/>
                <w:kern w:val="2"/>
                <w:sz w:val="24"/>
                <w:szCs w:val="24"/>
                <w:lang w:val="en-US" w:eastAsia="zh-CN" w:bidi="ar-SA"/>
              </w:rPr>
              <w:t>照  片</w:t>
            </w:r>
          </w:p>
          <w:p>
            <w:pPr>
              <w:pStyle w:val="13"/>
              <w:spacing w:before="75" w:line="238" w:lineRule="auto"/>
              <w:ind w:right="107"/>
              <w:jc w:val="center"/>
              <w:rPr>
                <w:rFonts w:hint="default" w:ascii="Times New Roman" w:hAnsi="Times New Roman" w:eastAsia="方正仿宋_GB2312" w:cs="Times New Roman"/>
                <w:spacing w:val="5"/>
                <w:sz w:val="24"/>
                <w:szCs w:val="24"/>
              </w:rPr>
            </w:pPr>
            <w:r>
              <w:rPr>
                <w:rFonts w:hint="default" w:ascii="Times New Roman" w:hAnsi="Times New Roman" w:eastAsia="方正仿宋_GB2312" w:cs="Times New Roman"/>
                <w:spacing w:val="5"/>
                <w:sz w:val="24"/>
                <w:szCs w:val="24"/>
              </w:rPr>
              <w:t>（近期免冠</w:t>
            </w:r>
            <w:r>
              <w:rPr>
                <w:rFonts w:hint="default" w:ascii="Times New Roman" w:hAnsi="Times New Roman" w:eastAsia="方正仿宋_GB2312" w:cs="Times New Roman"/>
                <w:spacing w:val="-32"/>
                <w:sz w:val="24"/>
                <w:szCs w:val="24"/>
              </w:rPr>
              <w:t xml:space="preserve"> </w:t>
            </w:r>
            <w:r>
              <w:rPr>
                <w:rFonts w:hint="default" w:ascii="Times New Roman" w:hAnsi="Times New Roman" w:eastAsia="方正仿宋_GB2312" w:cs="Times New Roman"/>
                <w:spacing w:val="5"/>
                <w:sz w:val="24"/>
                <w:szCs w:val="24"/>
              </w:rPr>
              <w:t>2</w:t>
            </w:r>
            <w:r>
              <w:rPr>
                <w:rFonts w:hint="default" w:ascii="Times New Roman" w:hAnsi="Times New Roman" w:eastAsia="方正仿宋_GB2312" w:cs="Times New Roman"/>
                <w:spacing w:val="-25"/>
                <w:sz w:val="24"/>
                <w:szCs w:val="24"/>
              </w:rPr>
              <w:t xml:space="preserve"> </w:t>
            </w:r>
            <w:r>
              <w:rPr>
                <w:rFonts w:hint="default" w:ascii="Times New Roman" w:hAnsi="Times New Roman" w:eastAsia="方正仿宋_GB2312" w:cs="Times New Roman"/>
                <w:spacing w:val="5"/>
                <w:sz w:val="24"/>
                <w:szCs w:val="24"/>
              </w:rPr>
              <w:t>寸</w:t>
            </w:r>
          </w:p>
          <w:p>
            <w:pPr>
              <w:pStyle w:val="13"/>
              <w:spacing w:before="75" w:line="238" w:lineRule="auto"/>
              <w:ind w:right="107"/>
              <w:jc w:val="center"/>
              <w:rPr>
                <w:rFonts w:hint="default" w:ascii="Times New Roman" w:hAnsi="Times New Roman" w:eastAsia="方正仿宋_GB2312" w:cs="Times New Roman"/>
                <w:sz w:val="32"/>
                <w:szCs w:val="32"/>
              </w:rPr>
            </w:pPr>
            <w:r>
              <w:rPr>
                <w:rFonts w:hint="default" w:ascii="Times New Roman" w:hAnsi="Times New Roman" w:eastAsia="方正仿宋_GB2312" w:cs="Times New Roman"/>
                <w:spacing w:val="5"/>
                <w:sz w:val="24"/>
                <w:szCs w:val="24"/>
              </w:rPr>
              <w:t>彩色照片）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124" w:type="dxa"/>
            <w:tcBorders>
              <w:top w:val="single" w:color="000000" w:sz="4" w:space="0"/>
              <w:right w:val="single" w:color="000000" w:sz="4" w:space="0"/>
            </w:tcBorders>
          </w:tcPr>
          <w:p>
            <w:pPr>
              <w:pStyle w:val="13"/>
              <w:spacing w:before="172" w:line="218" w:lineRule="auto"/>
              <w:ind w:left="294"/>
              <w:rPr>
                <w:rFonts w:hint="default" w:ascii="Times New Roman" w:hAnsi="Times New Roman" w:eastAsia="方正仿宋_GB2312" w:cs="Times New Roman"/>
                <w:sz w:val="32"/>
                <w:szCs w:val="32"/>
              </w:rPr>
            </w:pPr>
            <w:r>
              <w:rPr>
                <w:rFonts w:hint="default" w:ascii="Times New Roman" w:hAnsi="Times New Roman" w:eastAsia="方正仿宋_GB2312" w:cs="Times New Roman"/>
                <w:spacing w:val="-7"/>
                <w:sz w:val="32"/>
                <w:szCs w:val="32"/>
              </w:rPr>
              <w:t>年龄</w:t>
            </w:r>
          </w:p>
        </w:tc>
        <w:tc>
          <w:tcPr>
            <w:tcW w:w="1781" w:type="dxa"/>
            <w:gridSpan w:val="2"/>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eastAsia="方正仿宋_GB2312" w:cs="Times New Roman"/>
                <w:sz w:val="32"/>
                <w:szCs w:val="32"/>
              </w:rPr>
            </w:pPr>
          </w:p>
        </w:tc>
        <w:tc>
          <w:tcPr>
            <w:tcW w:w="1337" w:type="dxa"/>
            <w:tcBorders>
              <w:top w:val="single" w:color="000000" w:sz="4" w:space="0"/>
              <w:left w:val="single" w:color="000000" w:sz="4" w:space="0"/>
              <w:bottom w:val="single" w:color="000000" w:sz="4" w:space="0"/>
              <w:right w:val="single" w:color="000000" w:sz="4" w:space="0"/>
            </w:tcBorders>
          </w:tcPr>
          <w:p>
            <w:pPr>
              <w:pStyle w:val="13"/>
              <w:spacing w:before="172" w:line="219" w:lineRule="auto"/>
              <w:ind w:left="388"/>
              <w:rPr>
                <w:rFonts w:hint="default" w:ascii="Times New Roman" w:hAnsi="Times New Roman" w:eastAsia="方正仿宋_GB2312" w:cs="Times New Roman"/>
                <w:sz w:val="32"/>
                <w:szCs w:val="32"/>
              </w:rPr>
            </w:pPr>
            <w:r>
              <w:rPr>
                <w:rFonts w:hint="default" w:ascii="Times New Roman" w:hAnsi="Times New Roman" w:eastAsia="方正仿宋_GB2312" w:cs="Times New Roman"/>
                <w:spacing w:val="-24"/>
                <w:sz w:val="32"/>
                <w:szCs w:val="32"/>
              </w:rPr>
              <w:t>民族</w:t>
            </w:r>
          </w:p>
        </w:tc>
        <w:tc>
          <w:tcPr>
            <w:tcW w:w="1925" w:type="dxa"/>
            <w:tcBorders>
              <w:top w:val="single" w:color="000000" w:sz="4" w:space="0"/>
              <w:left w:val="single" w:color="000000" w:sz="4" w:space="0"/>
              <w:bottom w:val="single" w:color="000000" w:sz="4" w:space="0"/>
              <w:right w:val="single" w:color="000000" w:sz="4" w:space="0"/>
            </w:tcBorders>
          </w:tcPr>
          <w:p>
            <w:pPr>
              <w:jc w:val="center"/>
              <w:rPr>
                <w:rFonts w:hint="default" w:ascii="Times New Roman" w:hAnsi="Times New Roman" w:eastAsia="方正仿宋_GB2312" w:cs="Times New Roman"/>
                <w:sz w:val="32"/>
                <w:szCs w:val="32"/>
              </w:rPr>
            </w:pPr>
          </w:p>
        </w:tc>
        <w:tc>
          <w:tcPr>
            <w:tcW w:w="2125" w:type="dxa"/>
            <w:vMerge w:val="continue"/>
            <w:tcBorders>
              <w:top w:val="single" w:color="000000" w:sz="4" w:space="0"/>
              <w:left w:val="single" w:color="000000" w:sz="4" w:space="0"/>
              <w:bottom w:val="single" w:color="000000" w:sz="4" w:space="0"/>
              <w:right w:val="single" w:color="000000" w:sz="4" w:space="0"/>
            </w:tcBorders>
          </w:tcPr>
          <w:p>
            <w:pPr>
              <w:jc w:val="center"/>
              <w:rPr>
                <w:rFonts w:hint="default" w:ascii="Times New Roman" w:hAnsi="Times New Roman" w:eastAsia="方正仿宋_GB2312" w:cs="Times New Roman"/>
                <w:sz w:val="32"/>
                <w:szCs w:val="3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1124" w:type="dxa"/>
            <w:tcBorders>
              <w:right w:val="single" w:color="000000" w:sz="4" w:space="0"/>
            </w:tcBorders>
          </w:tcPr>
          <w:p>
            <w:pPr>
              <w:pStyle w:val="13"/>
              <w:spacing w:before="171" w:line="219" w:lineRule="auto"/>
              <w:ind w:left="307"/>
              <w:rPr>
                <w:rFonts w:hint="default" w:ascii="Times New Roman" w:hAnsi="Times New Roman" w:eastAsia="方正仿宋_GB2312" w:cs="Times New Roman"/>
                <w:sz w:val="32"/>
                <w:szCs w:val="32"/>
              </w:rPr>
            </w:pPr>
            <w:r>
              <w:rPr>
                <w:rFonts w:hint="default" w:ascii="Times New Roman" w:hAnsi="Times New Roman" w:eastAsia="方正仿宋_GB2312" w:cs="Times New Roman"/>
                <w:spacing w:val="-13"/>
                <w:sz w:val="32"/>
                <w:szCs w:val="32"/>
              </w:rPr>
              <w:t>学历</w:t>
            </w:r>
          </w:p>
        </w:tc>
        <w:tc>
          <w:tcPr>
            <w:tcW w:w="1781" w:type="dxa"/>
            <w:gridSpan w:val="2"/>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eastAsia="方正仿宋_GB2312" w:cs="Times New Roman"/>
                <w:sz w:val="32"/>
                <w:szCs w:val="32"/>
              </w:rPr>
            </w:pPr>
          </w:p>
        </w:tc>
        <w:tc>
          <w:tcPr>
            <w:tcW w:w="1337" w:type="dxa"/>
            <w:tcBorders>
              <w:top w:val="single" w:color="000000" w:sz="4" w:space="0"/>
              <w:left w:val="single" w:color="000000" w:sz="4" w:space="0"/>
              <w:bottom w:val="single" w:color="000000" w:sz="4" w:space="0"/>
              <w:right w:val="single" w:color="000000" w:sz="4" w:space="0"/>
            </w:tcBorders>
          </w:tcPr>
          <w:p>
            <w:pPr>
              <w:pStyle w:val="13"/>
              <w:spacing w:before="172" w:line="217" w:lineRule="auto"/>
              <w:ind w:left="366"/>
              <w:rPr>
                <w:rFonts w:hint="default" w:ascii="Times New Roman" w:hAnsi="Times New Roman" w:eastAsia="方正仿宋_GB2312" w:cs="Times New Roman"/>
                <w:sz w:val="32"/>
                <w:szCs w:val="32"/>
              </w:rPr>
            </w:pPr>
            <w:r>
              <w:rPr>
                <w:rFonts w:hint="default" w:ascii="Times New Roman" w:hAnsi="Times New Roman" w:eastAsia="方正仿宋_GB2312" w:cs="Times New Roman"/>
                <w:spacing w:val="-13"/>
                <w:sz w:val="32"/>
                <w:szCs w:val="32"/>
              </w:rPr>
              <w:t>学位</w:t>
            </w:r>
          </w:p>
        </w:tc>
        <w:tc>
          <w:tcPr>
            <w:tcW w:w="1925" w:type="dxa"/>
            <w:tcBorders>
              <w:top w:val="single" w:color="000000" w:sz="4" w:space="0"/>
              <w:left w:val="single" w:color="000000" w:sz="4" w:space="0"/>
              <w:bottom w:val="single" w:color="000000" w:sz="4" w:space="0"/>
              <w:right w:val="single" w:color="000000" w:sz="4" w:space="0"/>
            </w:tcBorders>
          </w:tcPr>
          <w:p>
            <w:pPr>
              <w:jc w:val="center"/>
              <w:rPr>
                <w:rFonts w:hint="default" w:ascii="Times New Roman" w:hAnsi="Times New Roman" w:eastAsia="方正仿宋_GB2312" w:cs="Times New Roman"/>
                <w:sz w:val="32"/>
                <w:szCs w:val="32"/>
              </w:rPr>
            </w:pPr>
          </w:p>
        </w:tc>
        <w:tc>
          <w:tcPr>
            <w:tcW w:w="2125" w:type="dxa"/>
            <w:vMerge w:val="continue"/>
            <w:tcBorders>
              <w:top w:val="single" w:color="000000" w:sz="4" w:space="0"/>
              <w:left w:val="single" w:color="000000" w:sz="4" w:space="0"/>
              <w:bottom w:val="single" w:color="000000" w:sz="4" w:space="0"/>
              <w:right w:val="single" w:color="000000" w:sz="4" w:space="0"/>
            </w:tcBorders>
          </w:tcPr>
          <w:p>
            <w:pPr>
              <w:jc w:val="center"/>
              <w:rPr>
                <w:rFonts w:hint="default" w:ascii="Times New Roman" w:hAnsi="Times New Roman" w:eastAsia="方正仿宋_GB2312" w:cs="Times New Roman"/>
                <w:sz w:val="32"/>
                <w:szCs w:val="3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1124" w:type="dxa"/>
          </w:tcPr>
          <w:p>
            <w:pPr>
              <w:pStyle w:val="13"/>
              <w:spacing w:before="171" w:line="219" w:lineRule="auto"/>
              <w:ind w:left="303"/>
              <w:rPr>
                <w:rFonts w:hint="default" w:ascii="Times New Roman" w:hAnsi="Times New Roman" w:eastAsia="方正仿宋_GB2312" w:cs="Times New Roman"/>
                <w:sz w:val="32"/>
                <w:szCs w:val="32"/>
              </w:rPr>
            </w:pPr>
            <w:r>
              <w:rPr>
                <w:rFonts w:hint="default" w:ascii="Times New Roman" w:hAnsi="Times New Roman" w:eastAsia="方正仿宋_GB2312" w:cs="Times New Roman"/>
                <w:spacing w:val="-11"/>
                <w:sz w:val="32"/>
                <w:szCs w:val="32"/>
              </w:rPr>
              <w:t>职务</w:t>
            </w:r>
          </w:p>
        </w:tc>
        <w:tc>
          <w:tcPr>
            <w:tcW w:w="1781" w:type="dxa"/>
            <w:gridSpan w:val="2"/>
            <w:tcBorders>
              <w:top w:val="single" w:color="000000" w:sz="4" w:space="0"/>
            </w:tcBorders>
          </w:tcPr>
          <w:p>
            <w:pPr>
              <w:rPr>
                <w:rFonts w:hint="default" w:ascii="Times New Roman" w:hAnsi="Times New Roman" w:eastAsia="方正仿宋_GB2312" w:cs="Times New Roman"/>
                <w:sz w:val="32"/>
                <w:szCs w:val="32"/>
              </w:rPr>
            </w:pPr>
          </w:p>
        </w:tc>
        <w:tc>
          <w:tcPr>
            <w:tcW w:w="1337" w:type="dxa"/>
            <w:tcBorders>
              <w:top w:val="single" w:color="000000" w:sz="4" w:space="0"/>
            </w:tcBorders>
          </w:tcPr>
          <w:p>
            <w:pPr>
              <w:pStyle w:val="13"/>
              <w:spacing w:before="172" w:line="216" w:lineRule="auto"/>
              <w:ind w:left="362"/>
              <w:rPr>
                <w:rFonts w:hint="default" w:ascii="Times New Roman" w:hAnsi="Times New Roman" w:eastAsia="方正仿宋_GB2312" w:cs="Times New Roman"/>
                <w:sz w:val="32"/>
                <w:szCs w:val="32"/>
              </w:rPr>
            </w:pPr>
            <w:r>
              <w:rPr>
                <w:rFonts w:hint="default" w:ascii="Times New Roman" w:hAnsi="Times New Roman" w:eastAsia="方正仿宋_GB2312" w:cs="Times New Roman"/>
                <w:spacing w:val="-11"/>
                <w:sz w:val="32"/>
                <w:szCs w:val="32"/>
              </w:rPr>
              <w:t>职称</w:t>
            </w:r>
          </w:p>
        </w:tc>
        <w:tc>
          <w:tcPr>
            <w:tcW w:w="1925" w:type="dxa"/>
            <w:tcBorders>
              <w:top w:val="single" w:color="000000" w:sz="4" w:space="0"/>
            </w:tcBorders>
          </w:tcPr>
          <w:p>
            <w:pPr>
              <w:rPr>
                <w:rFonts w:hint="default" w:ascii="Times New Roman" w:hAnsi="Times New Roman" w:eastAsia="方正仿宋_GB2312" w:cs="Times New Roman"/>
                <w:sz w:val="32"/>
                <w:szCs w:val="32"/>
              </w:rPr>
            </w:pPr>
          </w:p>
        </w:tc>
        <w:tc>
          <w:tcPr>
            <w:tcW w:w="2125" w:type="dxa"/>
            <w:vMerge w:val="continue"/>
            <w:tcBorders>
              <w:top w:val="single" w:color="000000" w:sz="4" w:space="0"/>
              <w:bottom w:val="nil"/>
              <w:right w:val="single" w:color="000000" w:sz="4" w:space="0"/>
            </w:tcBorders>
          </w:tcPr>
          <w:p>
            <w:pPr>
              <w:rPr>
                <w:rFonts w:hint="default" w:ascii="Times New Roman" w:hAnsi="Times New Roman" w:eastAsia="方正仿宋_GB2312" w:cs="Times New Roman"/>
                <w:sz w:val="32"/>
                <w:szCs w:val="3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662" w:type="dxa"/>
            <w:gridSpan w:val="2"/>
            <w:tcBorders>
              <w:right w:val="single" w:color="000000" w:sz="4" w:space="0"/>
            </w:tcBorders>
          </w:tcPr>
          <w:p>
            <w:pPr>
              <w:pStyle w:val="13"/>
              <w:spacing w:before="171" w:line="218" w:lineRule="auto"/>
              <w:jc w:val="center"/>
              <w:rPr>
                <w:rFonts w:hint="default" w:ascii="Times New Roman" w:hAnsi="Times New Roman" w:eastAsia="方正仿宋_GB2312" w:cs="Times New Roman"/>
                <w:sz w:val="32"/>
                <w:szCs w:val="32"/>
              </w:rPr>
            </w:pPr>
            <w:r>
              <w:rPr>
                <w:rFonts w:hint="default" w:ascii="Times New Roman" w:hAnsi="Times New Roman" w:eastAsia="方正仿宋_GB2312" w:cs="Times New Roman"/>
                <w:kern w:val="2"/>
                <w:sz w:val="32"/>
                <w:szCs w:val="32"/>
                <w:lang w:val="en-US" w:eastAsia="zh-CN" w:bidi="ar-SA"/>
              </w:rPr>
              <w:t>工作单位</w:t>
            </w:r>
          </w:p>
        </w:tc>
        <w:tc>
          <w:tcPr>
            <w:tcW w:w="6630" w:type="dxa"/>
            <w:gridSpan w:val="4"/>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eastAsia="方正仿宋_GB2312" w:cs="Times New Roman"/>
                <w:sz w:val="32"/>
                <w:szCs w:val="3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1662" w:type="dxa"/>
            <w:gridSpan w:val="2"/>
            <w:tcBorders>
              <w:right w:val="single" w:color="000000" w:sz="4" w:space="0"/>
            </w:tcBorders>
            <w:vAlign w:val="center"/>
          </w:tcPr>
          <w:p>
            <w:pPr>
              <w:pStyle w:val="13"/>
              <w:spacing w:before="172" w:line="219" w:lineRule="auto"/>
              <w:jc w:val="center"/>
              <w:rPr>
                <w:rFonts w:hint="default" w:ascii="Times New Roman" w:hAnsi="Times New Roman" w:eastAsia="方正仿宋_GB2312" w:cs="Times New Roman"/>
                <w:sz w:val="32"/>
                <w:szCs w:val="32"/>
                <w:lang w:eastAsia="zh-CN"/>
              </w:rPr>
            </w:pPr>
            <w:r>
              <w:rPr>
                <w:rFonts w:hint="default" w:ascii="Times New Roman" w:hAnsi="Times New Roman" w:eastAsia="方正仿宋_GB2312" w:cs="Times New Roman"/>
                <w:spacing w:val="-3"/>
                <w:sz w:val="32"/>
                <w:szCs w:val="32"/>
              </w:rPr>
              <w:t>身份证号码</w:t>
            </w:r>
          </w:p>
        </w:tc>
        <w:tc>
          <w:tcPr>
            <w:tcW w:w="25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2312" w:cs="Times New Roman"/>
                <w:kern w:val="2"/>
                <w:sz w:val="32"/>
                <w:szCs w:val="32"/>
                <w:lang w:val="en-US" w:eastAsia="zh-CN" w:bidi="ar-SA"/>
              </w:rPr>
            </w:pPr>
          </w:p>
        </w:tc>
        <w:tc>
          <w:tcPr>
            <w:tcW w:w="1925" w:type="dxa"/>
            <w:tcBorders>
              <w:top w:val="single" w:color="000000" w:sz="4" w:space="0"/>
              <w:left w:val="single" w:color="000000" w:sz="4" w:space="0"/>
              <w:bottom w:val="single" w:color="000000" w:sz="4" w:space="0"/>
              <w:right w:val="single" w:color="000000" w:sz="4" w:space="0"/>
            </w:tcBorders>
            <w:vAlign w:val="center"/>
          </w:tcPr>
          <w:p>
            <w:pPr>
              <w:pStyle w:val="13"/>
              <w:spacing w:before="172" w:line="219" w:lineRule="auto"/>
              <w:jc w:val="center"/>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仿宋_GB2312" w:cs="Times New Roman"/>
                <w:spacing w:val="-3"/>
                <w:sz w:val="32"/>
                <w:szCs w:val="32"/>
                <w:lang w:val="en-US" w:eastAsia="zh-CN"/>
              </w:rPr>
              <w:t>政治面貌</w:t>
            </w:r>
          </w:p>
        </w:tc>
        <w:tc>
          <w:tcPr>
            <w:tcW w:w="21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2312" w:cs="Times New Roman"/>
                <w:sz w:val="32"/>
                <w:szCs w:val="3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4242" w:type="dxa"/>
            <w:gridSpan w:val="4"/>
            <w:vAlign w:val="center"/>
          </w:tcPr>
          <w:p>
            <w:pPr>
              <w:pStyle w:val="13"/>
              <w:spacing w:before="218" w:line="241" w:lineRule="auto"/>
              <w:ind w:left="246" w:right="226" w:hanging="121"/>
              <w:jc w:val="center"/>
              <w:rPr>
                <w:rFonts w:hint="default" w:ascii="Times New Roman" w:hAnsi="Times New Roman" w:eastAsia="方正仿宋_GB2312" w:cs="Times New Roman"/>
                <w:sz w:val="32"/>
                <w:szCs w:val="32"/>
              </w:rPr>
            </w:pPr>
            <w:r>
              <w:rPr>
                <w:rFonts w:hint="default" w:ascii="Times New Roman" w:hAnsi="Times New Roman" w:eastAsia="方正仿宋_GB2312" w:cs="Times New Roman"/>
                <w:spacing w:val="-1"/>
                <w:sz w:val="32"/>
                <w:szCs w:val="32"/>
              </w:rPr>
              <w:t>从事</w:t>
            </w:r>
            <w:r>
              <w:rPr>
                <w:rFonts w:hint="default" w:ascii="Times New Roman" w:hAnsi="Times New Roman" w:eastAsia="方正仿宋_GB2312" w:cs="Times New Roman"/>
                <w:spacing w:val="-1"/>
                <w:sz w:val="32"/>
                <w:szCs w:val="32"/>
                <w:lang w:val="en-US" w:eastAsia="zh-CN"/>
              </w:rPr>
              <w:t>药学门诊</w:t>
            </w:r>
            <w:r>
              <w:rPr>
                <w:rFonts w:hint="default" w:ascii="Times New Roman" w:hAnsi="Times New Roman" w:eastAsia="方正仿宋_GB2312" w:cs="Times New Roman"/>
                <w:spacing w:val="-1"/>
                <w:sz w:val="32"/>
                <w:szCs w:val="32"/>
              </w:rPr>
              <w:t>工作年限</w:t>
            </w:r>
          </w:p>
        </w:tc>
        <w:tc>
          <w:tcPr>
            <w:tcW w:w="4050" w:type="dxa"/>
            <w:gridSpan w:val="2"/>
          </w:tcPr>
          <w:p>
            <w:pPr>
              <w:rPr>
                <w:rFonts w:hint="default" w:ascii="Times New Roman" w:hAnsi="Times New Roman" w:eastAsia="方正仿宋_GB2312" w:cs="Times New Roman"/>
                <w:sz w:val="32"/>
                <w:szCs w:val="3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8" w:hRule="atLeast"/>
        </w:trPr>
        <w:tc>
          <w:tcPr>
            <w:tcW w:w="4242" w:type="dxa"/>
            <w:gridSpan w:val="4"/>
            <w:vAlign w:val="center"/>
          </w:tcPr>
          <w:p>
            <w:pPr>
              <w:pStyle w:val="13"/>
              <w:spacing w:before="253" w:line="215" w:lineRule="auto"/>
              <w:jc w:val="center"/>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pacing w:val="-2"/>
                <w:sz w:val="32"/>
                <w:szCs w:val="32"/>
                <w:lang w:val="en-US" w:eastAsia="zh-CN"/>
              </w:rPr>
              <w:t>是否参加过紧缺人才岗位药师培训</w:t>
            </w:r>
            <w:r>
              <w:rPr>
                <w:rFonts w:hint="eastAsia" w:ascii="Times New Roman" w:hAnsi="Times New Roman" w:eastAsia="方正仿宋_GB2312" w:cs="Times New Roman"/>
                <w:spacing w:val="-2"/>
                <w:sz w:val="32"/>
                <w:szCs w:val="32"/>
                <w:lang w:val="en-US" w:eastAsia="zh-CN"/>
              </w:rPr>
              <w:t>（师资或学员）</w:t>
            </w:r>
          </w:p>
        </w:tc>
        <w:tc>
          <w:tcPr>
            <w:tcW w:w="4050" w:type="dxa"/>
            <w:gridSpan w:val="2"/>
          </w:tcPr>
          <w:p>
            <w:pPr>
              <w:rPr>
                <w:rFonts w:hint="default" w:ascii="Times New Roman" w:hAnsi="Times New Roman" w:eastAsia="方正仿宋_GB2312" w:cs="Times New Roman"/>
                <w:sz w:val="32"/>
                <w:szCs w:val="3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4" w:hRule="atLeast"/>
        </w:trPr>
        <w:tc>
          <w:tcPr>
            <w:tcW w:w="8292" w:type="dxa"/>
            <w:gridSpan w:val="6"/>
          </w:tcPr>
          <w:p>
            <w:pPr>
              <w:pStyle w:val="13"/>
              <w:spacing w:before="253" w:line="360" w:lineRule="auto"/>
              <w:ind w:firstLine="632" w:firstLineChars="200"/>
              <w:rPr>
                <w:rFonts w:hint="default" w:ascii="Times New Roman" w:hAnsi="Times New Roman" w:eastAsia="方正仿宋_GB2312" w:cs="Times New Roman"/>
                <w:spacing w:val="-2"/>
                <w:sz w:val="32"/>
                <w:szCs w:val="32"/>
                <w:lang w:val="en-US" w:eastAsia="zh-CN"/>
              </w:rPr>
            </w:pPr>
            <w:r>
              <w:rPr>
                <w:rFonts w:hint="default" w:ascii="Times New Roman" w:hAnsi="Times New Roman" w:eastAsia="方正仿宋_GB2312" w:cs="Times New Roman"/>
                <w:spacing w:val="-2"/>
                <w:sz w:val="32"/>
                <w:szCs w:val="32"/>
                <w:lang w:val="en-US" w:eastAsia="zh-CN"/>
              </w:rPr>
              <w:t>经核实，该同志于本医疗机构从事药学门诊工作，在职期间无违法违纪和无医疗事故等情况。</w:t>
            </w:r>
          </w:p>
          <w:p>
            <w:pPr>
              <w:pStyle w:val="13"/>
              <w:spacing w:before="253" w:line="215" w:lineRule="auto"/>
              <w:rPr>
                <w:rFonts w:hint="default" w:ascii="Times New Roman" w:hAnsi="Times New Roman" w:eastAsia="方正仿宋_GB2312" w:cs="Times New Roman"/>
                <w:spacing w:val="-2"/>
                <w:sz w:val="32"/>
                <w:szCs w:val="32"/>
                <w:lang w:val="en-US" w:eastAsia="zh-CN"/>
              </w:rPr>
            </w:pPr>
            <w:r>
              <w:rPr>
                <w:rFonts w:hint="default" w:ascii="Times New Roman" w:hAnsi="Times New Roman" w:eastAsia="方正仿宋_GB2312" w:cs="Times New Roman"/>
                <w:spacing w:val="-2"/>
                <w:sz w:val="32"/>
                <w:szCs w:val="32"/>
                <w:lang w:val="en-US" w:eastAsia="zh-CN"/>
              </w:rPr>
              <w:t xml:space="preserve">用人单位盖章：                        年   月   日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3" w:hRule="atLeast"/>
        </w:trPr>
        <w:tc>
          <w:tcPr>
            <w:tcW w:w="8292" w:type="dxa"/>
            <w:gridSpan w:val="6"/>
          </w:tcPr>
          <w:p>
            <w:pPr>
              <w:pStyle w:val="13"/>
              <w:spacing w:before="191" w:line="240" w:lineRule="auto"/>
              <w:ind w:left="257"/>
              <w:rPr>
                <w:rFonts w:hint="default" w:ascii="Times New Roman" w:hAnsi="Times New Roman" w:eastAsia="方正仿宋_GB2312" w:cs="Times New Roman"/>
                <w:spacing w:val="-1"/>
                <w:position w:val="16"/>
                <w:sz w:val="32"/>
                <w:szCs w:val="32"/>
              </w:rPr>
            </w:pPr>
            <w:r>
              <w:rPr>
                <w:rFonts w:hint="default" w:ascii="Times New Roman" w:hAnsi="Times New Roman" w:eastAsia="方正仿宋_GB2312" w:cs="Times New Roman"/>
                <w:spacing w:val="-1"/>
                <w:position w:val="16"/>
                <w:sz w:val="32"/>
                <w:szCs w:val="32"/>
              </w:rPr>
              <w:t>备注</w:t>
            </w:r>
            <w:r>
              <w:rPr>
                <w:rFonts w:hint="eastAsia" w:ascii="Times New Roman" w:hAnsi="Times New Roman" w:eastAsia="方正仿宋_GB2312" w:cs="Times New Roman"/>
                <w:spacing w:val="-1"/>
                <w:position w:val="16"/>
                <w:sz w:val="32"/>
                <w:szCs w:val="32"/>
                <w:lang w:eastAsia="zh-CN"/>
              </w:rPr>
              <w:t>：</w:t>
            </w:r>
            <w:r>
              <w:rPr>
                <w:rFonts w:hint="default" w:ascii="Times New Roman" w:hAnsi="Times New Roman" w:eastAsia="方正仿宋_GB2312" w:cs="Times New Roman"/>
                <w:spacing w:val="-1"/>
                <w:position w:val="16"/>
                <w:sz w:val="32"/>
                <w:szCs w:val="32"/>
              </w:rPr>
              <w:t>1.</w:t>
            </w:r>
            <w:r>
              <w:rPr>
                <w:rFonts w:hint="default" w:ascii="Times New Roman" w:hAnsi="Times New Roman" w:eastAsia="方正仿宋_GB2312" w:cs="Times New Roman"/>
                <w:spacing w:val="-1"/>
                <w:position w:val="16"/>
                <w:sz w:val="32"/>
                <w:szCs w:val="32"/>
                <w:lang w:val="en-US" w:eastAsia="zh-CN"/>
              </w:rPr>
              <w:t>全部</w:t>
            </w:r>
            <w:r>
              <w:rPr>
                <w:rFonts w:hint="default" w:ascii="Times New Roman" w:hAnsi="Times New Roman" w:eastAsia="方正仿宋_GB2312" w:cs="Times New Roman"/>
                <w:spacing w:val="-1"/>
                <w:position w:val="16"/>
                <w:sz w:val="32"/>
                <w:szCs w:val="32"/>
              </w:rPr>
              <w:t>参赛人员填写</w:t>
            </w:r>
            <w:r>
              <w:rPr>
                <w:rFonts w:hint="default" w:ascii="Times New Roman" w:hAnsi="Times New Roman" w:eastAsia="方正仿宋_GB2312" w:cs="Times New Roman"/>
                <w:spacing w:val="-1"/>
                <w:position w:val="16"/>
                <w:sz w:val="32"/>
                <w:szCs w:val="32"/>
                <w:lang w:val="en-US" w:eastAsia="zh-CN"/>
              </w:rPr>
              <w:t>本表</w:t>
            </w:r>
            <w:r>
              <w:rPr>
                <w:rFonts w:hint="default" w:ascii="Times New Roman" w:hAnsi="Times New Roman" w:eastAsia="方正仿宋_GB2312" w:cs="Times New Roman"/>
                <w:spacing w:val="-1"/>
                <w:position w:val="16"/>
                <w:sz w:val="32"/>
                <w:szCs w:val="32"/>
              </w:rPr>
              <w:t>，经审核盖章后上报。</w:t>
            </w:r>
          </w:p>
          <w:p>
            <w:pPr>
              <w:pStyle w:val="13"/>
              <w:spacing w:before="191" w:line="240" w:lineRule="auto"/>
              <w:ind w:left="257" w:firstLine="954" w:firstLineChars="300"/>
              <w:rPr>
                <w:rFonts w:hint="default" w:ascii="Times New Roman" w:hAnsi="Times New Roman" w:eastAsia="方正仿宋_GB2312" w:cs="Times New Roman"/>
                <w:spacing w:val="-1"/>
                <w:sz w:val="32"/>
                <w:szCs w:val="32"/>
              </w:rPr>
            </w:pPr>
            <w:r>
              <w:rPr>
                <w:rFonts w:hint="default" w:ascii="Times New Roman" w:hAnsi="Times New Roman" w:eastAsia="方正仿宋_GB2312" w:cs="Times New Roman"/>
                <w:spacing w:val="-1"/>
                <w:sz w:val="32"/>
                <w:szCs w:val="32"/>
              </w:rPr>
              <w:t>2.</w:t>
            </w:r>
            <w:r>
              <w:rPr>
                <w:rFonts w:hint="default" w:ascii="Times New Roman" w:hAnsi="Times New Roman" w:eastAsia="方正仿宋_GB2312" w:cs="Times New Roman"/>
                <w:spacing w:val="-12"/>
                <w:sz w:val="32"/>
                <w:szCs w:val="32"/>
              </w:rPr>
              <w:t>请各单位严格审核所填信息，经审查如有不符将取</w:t>
            </w:r>
            <w:r>
              <w:rPr>
                <w:rFonts w:hint="default" w:ascii="Times New Roman" w:hAnsi="Times New Roman" w:eastAsia="方正仿宋_GB2312" w:cs="Times New Roman"/>
                <w:spacing w:val="-1"/>
                <w:sz w:val="32"/>
                <w:szCs w:val="32"/>
              </w:rPr>
              <w:t>消</w:t>
            </w:r>
          </w:p>
          <w:p>
            <w:pPr>
              <w:pStyle w:val="13"/>
              <w:spacing w:before="191" w:line="240" w:lineRule="auto"/>
              <w:ind w:left="257" w:firstLine="954" w:firstLineChars="300"/>
              <w:rPr>
                <w:rFonts w:hint="default" w:ascii="Times New Roman" w:hAnsi="Times New Roman" w:eastAsia="方正仿宋_GB2312" w:cs="Times New Roman"/>
                <w:spacing w:val="-1"/>
                <w:sz w:val="32"/>
                <w:szCs w:val="32"/>
                <w:lang w:val="en-US" w:eastAsia="zh-CN"/>
              </w:rPr>
            </w:pPr>
            <w:r>
              <w:rPr>
                <w:rFonts w:hint="default" w:ascii="Times New Roman" w:hAnsi="Times New Roman" w:eastAsia="方正仿宋_GB2312" w:cs="Times New Roman"/>
                <w:spacing w:val="-1"/>
                <w:sz w:val="32"/>
                <w:szCs w:val="32"/>
              </w:rPr>
              <w:t>参赛资格。</w:t>
            </w:r>
          </w:p>
        </w:tc>
      </w:tr>
    </w:tbl>
    <w:p>
      <w:pPr>
        <w:spacing w:before="55" w:line="184" w:lineRule="auto"/>
        <w:rPr>
          <w:rFonts w:hint="default" w:ascii="Times New Roman" w:hAnsi="Times New Roman" w:eastAsia="方正仿宋_GB2312" w:cs="Times New Roman"/>
          <w:spacing w:val="-3"/>
          <w:sz w:val="32"/>
          <w:szCs w:val="32"/>
        </w:rPr>
        <w:sectPr>
          <w:pgSz w:w="11906" w:h="16838"/>
          <w:pgMar w:top="2041" w:right="1587" w:bottom="1417" w:left="1587" w:header="709" w:footer="709" w:gutter="0"/>
          <w:pgBorders>
            <w:top w:val="none" w:sz="0" w:space="0"/>
            <w:left w:val="none" w:sz="0" w:space="0"/>
            <w:bottom w:val="none" w:sz="0" w:space="0"/>
            <w:right w:val="none" w:sz="0" w:space="0"/>
          </w:pgBorders>
          <w:cols w:space="0" w:num="1"/>
          <w:rtlGutter w:val="0"/>
          <w:docGrid w:linePitch="360" w:charSpace="0"/>
        </w:sectPr>
      </w:pPr>
    </w:p>
    <w:p>
      <w:pPr>
        <w:pStyle w:val="5"/>
        <w:spacing w:before="139" w:line="209" w:lineRule="auto"/>
        <w:rPr>
          <w:rFonts w:hint="default" w:ascii="仿宋" w:hAnsi="仿宋" w:eastAsia="仿宋" w:cs="仿宋"/>
          <w:b/>
          <w:bCs/>
          <w:sz w:val="32"/>
          <w:szCs w:val="32"/>
          <w:vertAlign w:val="baseline"/>
          <w:lang w:val="en-US" w:eastAsia="zh-CN"/>
        </w:rPr>
      </w:pPr>
      <w:r>
        <w:rPr>
          <w:rFonts w:hint="eastAsia" w:ascii="Times New Roman" w:hAnsi="Times New Roman" w:eastAsia="黑体" w:cs="Times New Roman"/>
          <w:sz w:val="32"/>
          <w:szCs w:val="32"/>
          <w:lang w:eastAsia="zh-CN"/>
        </w:rPr>
        <w:t>附录</w:t>
      </w:r>
      <w:r>
        <w:rPr>
          <w:rFonts w:hint="eastAsia" w:ascii="Times New Roman" w:hAnsi="Times New Roman" w:eastAsia="黑体" w:cs="Times New Roman"/>
          <w:sz w:val="32"/>
          <w:szCs w:val="32"/>
          <w:lang w:val="en-US" w:eastAsia="zh-CN"/>
        </w:rPr>
        <w:t>3</w:t>
      </w:r>
    </w:p>
    <w:p>
      <w:pPr>
        <w:jc w:val="center"/>
        <w:rPr>
          <w:rFonts w:hint="eastAsia" w:ascii="黑体" w:hAnsi="黑体" w:eastAsia="黑体" w:cs="黑体"/>
          <w:sz w:val="32"/>
          <w:szCs w:val="32"/>
          <w:lang w:eastAsia="zh-CN"/>
        </w:rPr>
      </w:pPr>
      <w:r>
        <w:rPr>
          <w:rFonts w:hint="eastAsia" w:ascii="方正小标宋简体" w:hAnsi="方正小标宋简体" w:eastAsia="方正小标宋简体" w:cs="方正小标宋简体"/>
          <w:b w:val="0"/>
          <w:bCs w:val="0"/>
          <w:sz w:val="44"/>
          <w:szCs w:val="44"/>
          <w:lang w:eastAsia="zh-CN"/>
        </w:rPr>
        <w:t>省级竞赛参赛人员信息汇总表</w:t>
      </w:r>
    </w:p>
    <w:tbl>
      <w:tblPr>
        <w:tblStyle w:val="9"/>
        <w:tblW w:w="14768" w:type="dxa"/>
        <w:tblInd w:w="-147" w:type="dxa"/>
        <w:tblLayout w:type="fixed"/>
        <w:tblCellMar>
          <w:top w:w="0" w:type="dxa"/>
          <w:left w:w="108" w:type="dxa"/>
          <w:bottom w:w="0" w:type="dxa"/>
          <w:right w:w="108" w:type="dxa"/>
        </w:tblCellMar>
      </w:tblPr>
      <w:tblGrid>
        <w:gridCol w:w="825"/>
        <w:gridCol w:w="1238"/>
        <w:gridCol w:w="1197"/>
        <w:gridCol w:w="1030"/>
        <w:gridCol w:w="2693"/>
        <w:gridCol w:w="1233"/>
        <w:gridCol w:w="1677"/>
        <w:gridCol w:w="1990"/>
        <w:gridCol w:w="1355"/>
        <w:gridCol w:w="1530"/>
      </w:tblGrid>
      <w:tr>
        <w:tblPrEx>
          <w:tblCellMar>
            <w:top w:w="0" w:type="dxa"/>
            <w:left w:w="108" w:type="dxa"/>
            <w:bottom w:w="0" w:type="dxa"/>
            <w:right w:w="108" w:type="dxa"/>
          </w:tblCellMar>
        </w:tblPrEx>
        <w:trPr>
          <w:trHeight w:val="322" w:hRule="atLeast"/>
        </w:trPr>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jc w:val="center"/>
              <w:textAlignment w:val="auto"/>
              <w:rPr>
                <w:rFonts w:hint="eastAsia" w:ascii="黑体" w:hAnsi="黑体" w:eastAsia="黑体" w:cs="黑体"/>
                <w:b w:val="0"/>
                <w:bCs w:val="0"/>
                <w:kern w:val="0"/>
                <w:sz w:val="28"/>
                <w:szCs w:val="28"/>
                <w:lang w:val="en-US" w:eastAsia="zh-CN"/>
              </w:rPr>
            </w:pPr>
            <w:r>
              <w:rPr>
                <w:rFonts w:hint="eastAsia" w:ascii="黑体" w:hAnsi="黑体" w:eastAsia="黑体" w:cs="黑体"/>
                <w:b w:val="0"/>
                <w:bCs w:val="0"/>
                <w:kern w:val="0"/>
                <w:sz w:val="28"/>
                <w:szCs w:val="28"/>
                <w:lang w:val="en-US" w:eastAsia="zh-CN"/>
              </w:rPr>
              <w:t>序号</w:t>
            </w:r>
          </w:p>
        </w:tc>
        <w:tc>
          <w:tcPr>
            <w:tcW w:w="12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jc w:val="center"/>
              <w:textAlignment w:val="auto"/>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姓名</w:t>
            </w:r>
          </w:p>
        </w:tc>
        <w:tc>
          <w:tcPr>
            <w:tcW w:w="119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jc w:val="center"/>
              <w:textAlignment w:val="auto"/>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性别</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jc w:val="center"/>
              <w:textAlignment w:val="auto"/>
              <w:rPr>
                <w:rFonts w:hint="eastAsia" w:ascii="黑体" w:hAnsi="黑体" w:eastAsia="黑体" w:cs="黑体"/>
                <w:b w:val="0"/>
                <w:bCs w:val="0"/>
                <w:kern w:val="0"/>
                <w:sz w:val="28"/>
                <w:szCs w:val="28"/>
                <w:lang w:val="en-US" w:eastAsia="zh-CN"/>
              </w:rPr>
            </w:pPr>
            <w:r>
              <w:rPr>
                <w:rFonts w:hint="eastAsia" w:ascii="黑体" w:hAnsi="黑体" w:eastAsia="黑体" w:cs="黑体"/>
                <w:b w:val="0"/>
                <w:bCs w:val="0"/>
                <w:kern w:val="0"/>
                <w:sz w:val="28"/>
                <w:szCs w:val="28"/>
                <w:lang w:val="en-US" w:eastAsia="zh-CN"/>
              </w:rPr>
              <w:t>年龄</w:t>
            </w:r>
          </w:p>
        </w:tc>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jc w:val="center"/>
              <w:textAlignment w:val="auto"/>
              <w:rPr>
                <w:rFonts w:hint="eastAsia" w:ascii="黑体" w:hAnsi="黑体" w:eastAsia="黑体" w:cs="黑体"/>
                <w:b w:val="0"/>
                <w:bCs w:val="0"/>
                <w:kern w:val="0"/>
                <w:sz w:val="28"/>
                <w:szCs w:val="28"/>
                <w:lang w:eastAsia="zh-CN"/>
              </w:rPr>
            </w:pPr>
            <w:r>
              <w:rPr>
                <w:rFonts w:hint="eastAsia" w:ascii="黑体" w:hAnsi="黑体" w:eastAsia="黑体" w:cs="黑体"/>
                <w:b w:val="0"/>
                <w:bCs w:val="0"/>
                <w:kern w:val="0"/>
                <w:sz w:val="28"/>
                <w:szCs w:val="28"/>
                <w:lang w:eastAsia="zh-CN"/>
              </w:rPr>
              <w:t>单位</w:t>
            </w:r>
          </w:p>
        </w:tc>
        <w:tc>
          <w:tcPr>
            <w:tcW w:w="123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jc w:val="center"/>
              <w:textAlignment w:val="auto"/>
              <w:rPr>
                <w:rFonts w:hint="eastAsia" w:ascii="黑体" w:hAnsi="黑体" w:eastAsia="黑体" w:cs="黑体"/>
                <w:b w:val="0"/>
                <w:bCs w:val="0"/>
                <w:kern w:val="0"/>
                <w:sz w:val="28"/>
                <w:szCs w:val="28"/>
                <w:lang w:eastAsia="zh-CN"/>
              </w:rPr>
            </w:pPr>
            <w:r>
              <w:rPr>
                <w:rFonts w:hint="eastAsia" w:ascii="黑体" w:hAnsi="黑体" w:eastAsia="黑体" w:cs="黑体"/>
                <w:b w:val="0"/>
                <w:bCs w:val="0"/>
                <w:kern w:val="0"/>
                <w:sz w:val="28"/>
                <w:szCs w:val="28"/>
                <w:lang w:eastAsia="zh-CN"/>
              </w:rPr>
              <w:t>职称</w:t>
            </w:r>
          </w:p>
        </w:tc>
        <w:tc>
          <w:tcPr>
            <w:tcW w:w="16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jc w:val="center"/>
              <w:textAlignment w:val="auto"/>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从事</w:t>
            </w:r>
            <w:r>
              <w:rPr>
                <w:rFonts w:hint="eastAsia" w:ascii="黑体" w:hAnsi="黑体" w:eastAsia="黑体" w:cs="黑体"/>
                <w:b w:val="0"/>
                <w:bCs w:val="0"/>
                <w:kern w:val="0"/>
                <w:sz w:val="28"/>
                <w:szCs w:val="28"/>
                <w:lang w:val="en-US" w:eastAsia="zh-CN"/>
              </w:rPr>
              <w:t>药学门诊工作</w:t>
            </w:r>
            <w:r>
              <w:rPr>
                <w:rFonts w:hint="eastAsia" w:ascii="黑体" w:hAnsi="黑体" w:eastAsia="黑体" w:cs="黑体"/>
                <w:b w:val="0"/>
                <w:bCs w:val="0"/>
                <w:kern w:val="0"/>
                <w:sz w:val="28"/>
                <w:szCs w:val="28"/>
              </w:rPr>
              <w:t>年限</w:t>
            </w:r>
          </w:p>
        </w:tc>
        <w:tc>
          <w:tcPr>
            <w:tcW w:w="19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jc w:val="center"/>
              <w:textAlignment w:val="auto"/>
              <w:rPr>
                <w:rFonts w:hint="eastAsia" w:ascii="黑体" w:hAnsi="黑体" w:eastAsia="黑体" w:cs="黑体"/>
                <w:b w:val="0"/>
                <w:bCs w:val="0"/>
                <w:kern w:val="0"/>
                <w:sz w:val="28"/>
                <w:szCs w:val="28"/>
                <w:lang w:eastAsia="zh-CN"/>
              </w:rPr>
            </w:pPr>
            <w:r>
              <w:rPr>
                <w:rFonts w:hint="eastAsia" w:ascii="黑体" w:hAnsi="黑体" w:eastAsia="黑体" w:cs="黑体"/>
                <w:b w:val="0"/>
                <w:bCs w:val="0"/>
                <w:kern w:val="0"/>
                <w:sz w:val="28"/>
                <w:szCs w:val="28"/>
                <w:lang w:eastAsia="zh-CN"/>
              </w:rPr>
              <w:t>是否参加过岗位药师培训（师资或学员）</w:t>
            </w:r>
          </w:p>
        </w:tc>
        <w:tc>
          <w:tcPr>
            <w:tcW w:w="135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jc w:val="center"/>
              <w:textAlignment w:val="auto"/>
              <w:rPr>
                <w:rFonts w:hint="eastAsia" w:ascii="黑体" w:hAnsi="黑体" w:eastAsia="黑体" w:cs="黑体"/>
                <w:b w:val="0"/>
                <w:bCs w:val="0"/>
                <w:kern w:val="0"/>
                <w:sz w:val="28"/>
                <w:szCs w:val="28"/>
                <w:lang w:val="en-US" w:eastAsia="zh-CN"/>
              </w:rPr>
            </w:pPr>
            <w:r>
              <w:rPr>
                <w:rFonts w:hint="eastAsia" w:ascii="黑体" w:hAnsi="黑体" w:eastAsia="黑体" w:cs="黑体"/>
                <w:b w:val="0"/>
                <w:bCs w:val="0"/>
                <w:kern w:val="0"/>
                <w:sz w:val="28"/>
                <w:szCs w:val="28"/>
                <w:lang w:val="en-US" w:eastAsia="zh-CN"/>
              </w:rPr>
              <w:t>手机号</w:t>
            </w:r>
          </w:p>
        </w:tc>
        <w:tc>
          <w:tcPr>
            <w:tcW w:w="15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jc w:val="center"/>
              <w:textAlignment w:val="auto"/>
              <w:rPr>
                <w:rFonts w:hint="eastAsia" w:ascii="黑体" w:hAnsi="黑体" w:eastAsia="黑体" w:cs="黑体"/>
                <w:b w:val="0"/>
                <w:bCs w:val="0"/>
                <w:kern w:val="0"/>
                <w:sz w:val="28"/>
                <w:szCs w:val="28"/>
                <w:lang w:val="en-US" w:eastAsia="zh-CN"/>
              </w:rPr>
            </w:pPr>
            <w:r>
              <w:rPr>
                <w:rFonts w:hint="eastAsia" w:ascii="黑体" w:hAnsi="黑体" w:eastAsia="黑体" w:cs="黑体"/>
                <w:b w:val="0"/>
                <w:bCs w:val="0"/>
                <w:kern w:val="0"/>
                <w:sz w:val="28"/>
                <w:szCs w:val="28"/>
                <w:lang w:val="en-US" w:eastAsia="zh-CN"/>
              </w:rPr>
              <w:t>参赛队伍</w:t>
            </w:r>
          </w:p>
        </w:tc>
      </w:tr>
      <w:tr>
        <w:tblPrEx>
          <w:tblCellMar>
            <w:top w:w="0" w:type="dxa"/>
            <w:left w:w="108" w:type="dxa"/>
            <w:bottom w:w="0" w:type="dxa"/>
            <w:right w:w="108" w:type="dxa"/>
          </w:tblCellMar>
        </w:tblPrEx>
        <w:trPr>
          <w:trHeight w:val="567" w:hRule="exact"/>
        </w:trPr>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lang w:val="en-US" w:eastAsia="zh-CN"/>
              </w:rPr>
            </w:pPr>
            <w:r>
              <w:rPr>
                <w:rFonts w:hint="default" w:ascii="Times New Roman" w:hAnsi="Times New Roman" w:eastAsia="方正仿宋_GB2312" w:cs="Times New Roman"/>
                <w:b w:val="0"/>
                <w:bCs w:val="0"/>
                <w:kern w:val="0"/>
                <w:sz w:val="24"/>
                <w:szCs w:val="24"/>
                <w:lang w:val="en-US" w:eastAsia="zh-CN"/>
              </w:rPr>
              <w:t>01</w:t>
            </w:r>
          </w:p>
        </w:tc>
        <w:tc>
          <w:tcPr>
            <w:tcW w:w="12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lang w:val="en-US" w:eastAsia="zh-CN"/>
              </w:rPr>
            </w:pPr>
          </w:p>
        </w:tc>
        <w:tc>
          <w:tcPr>
            <w:tcW w:w="1197"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233"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6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99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355"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53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r>
      <w:tr>
        <w:tblPrEx>
          <w:tblCellMar>
            <w:top w:w="0" w:type="dxa"/>
            <w:left w:w="108" w:type="dxa"/>
            <w:bottom w:w="0" w:type="dxa"/>
            <w:right w:w="108" w:type="dxa"/>
          </w:tblCellMar>
        </w:tblPrEx>
        <w:trPr>
          <w:trHeight w:val="567" w:hRule="exact"/>
        </w:trPr>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lang w:val="en-US" w:eastAsia="zh-CN"/>
              </w:rPr>
            </w:pPr>
            <w:r>
              <w:rPr>
                <w:rFonts w:hint="default" w:ascii="Times New Roman" w:hAnsi="Times New Roman" w:eastAsia="方正仿宋_GB2312" w:cs="Times New Roman"/>
                <w:b w:val="0"/>
                <w:bCs w:val="0"/>
                <w:kern w:val="0"/>
                <w:sz w:val="24"/>
                <w:szCs w:val="24"/>
                <w:lang w:val="en-US" w:eastAsia="zh-CN"/>
              </w:rPr>
              <w:t>02</w:t>
            </w:r>
          </w:p>
        </w:tc>
        <w:tc>
          <w:tcPr>
            <w:tcW w:w="12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197"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233"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6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99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355"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53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r>
      <w:tr>
        <w:tblPrEx>
          <w:tblCellMar>
            <w:top w:w="0" w:type="dxa"/>
            <w:left w:w="108" w:type="dxa"/>
            <w:bottom w:w="0" w:type="dxa"/>
            <w:right w:w="108" w:type="dxa"/>
          </w:tblCellMar>
        </w:tblPrEx>
        <w:trPr>
          <w:trHeight w:val="567" w:hRule="exact"/>
        </w:trPr>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lang w:val="en-US" w:eastAsia="zh-CN"/>
              </w:rPr>
            </w:pPr>
            <w:r>
              <w:rPr>
                <w:rFonts w:hint="default" w:ascii="Times New Roman" w:hAnsi="Times New Roman" w:eastAsia="方正仿宋_GB2312" w:cs="Times New Roman"/>
                <w:b w:val="0"/>
                <w:bCs w:val="0"/>
                <w:kern w:val="0"/>
                <w:sz w:val="24"/>
                <w:szCs w:val="24"/>
                <w:lang w:val="en-US" w:eastAsia="zh-CN"/>
              </w:rPr>
              <w:t>03</w:t>
            </w:r>
          </w:p>
        </w:tc>
        <w:tc>
          <w:tcPr>
            <w:tcW w:w="12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197"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233"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6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99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355"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53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r>
      <w:tr>
        <w:tblPrEx>
          <w:tblCellMar>
            <w:top w:w="0" w:type="dxa"/>
            <w:left w:w="108" w:type="dxa"/>
            <w:bottom w:w="0" w:type="dxa"/>
            <w:right w:w="108" w:type="dxa"/>
          </w:tblCellMar>
        </w:tblPrEx>
        <w:trPr>
          <w:trHeight w:val="567" w:hRule="exact"/>
        </w:trPr>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2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197"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233"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6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99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355"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53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r>
      <w:tr>
        <w:tblPrEx>
          <w:tblCellMar>
            <w:top w:w="0" w:type="dxa"/>
            <w:left w:w="108" w:type="dxa"/>
            <w:bottom w:w="0" w:type="dxa"/>
            <w:right w:w="108" w:type="dxa"/>
          </w:tblCellMar>
        </w:tblPrEx>
        <w:trPr>
          <w:trHeight w:val="567" w:hRule="exact"/>
        </w:trPr>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2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197"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233"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6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99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355"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53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r>
      <w:tr>
        <w:tblPrEx>
          <w:tblCellMar>
            <w:top w:w="0" w:type="dxa"/>
            <w:left w:w="108" w:type="dxa"/>
            <w:bottom w:w="0" w:type="dxa"/>
            <w:right w:w="108" w:type="dxa"/>
          </w:tblCellMar>
        </w:tblPrEx>
        <w:trPr>
          <w:trHeight w:val="567" w:hRule="exact"/>
        </w:trPr>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2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197"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233"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6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99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355"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53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r>
      <w:tr>
        <w:tblPrEx>
          <w:tblCellMar>
            <w:top w:w="0" w:type="dxa"/>
            <w:left w:w="108" w:type="dxa"/>
            <w:bottom w:w="0" w:type="dxa"/>
            <w:right w:w="108" w:type="dxa"/>
          </w:tblCellMar>
        </w:tblPrEx>
        <w:trPr>
          <w:trHeight w:val="567" w:hRule="exact"/>
        </w:trPr>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2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197"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233"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6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方正仿宋_GB2312" w:cs="Times New Roman"/>
                <w:b w:val="0"/>
                <w:bCs w:val="0"/>
                <w:kern w:val="0"/>
                <w:sz w:val="24"/>
                <w:szCs w:val="24"/>
              </w:rPr>
            </w:pPr>
          </w:p>
        </w:tc>
        <w:tc>
          <w:tcPr>
            <w:tcW w:w="199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355"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c>
          <w:tcPr>
            <w:tcW w:w="1530" w:type="dxa"/>
            <w:tcBorders>
              <w:top w:val="single" w:color="auto" w:sz="4" w:space="0"/>
              <w:left w:val="nil"/>
              <w:bottom w:val="single" w:color="auto" w:sz="4" w:space="0"/>
              <w:right w:val="single" w:color="auto" w:sz="4" w:space="0"/>
            </w:tcBorders>
          </w:tcPr>
          <w:p>
            <w:pPr>
              <w:widowControl/>
              <w:jc w:val="center"/>
              <w:rPr>
                <w:rFonts w:hint="default" w:ascii="Times New Roman" w:hAnsi="Times New Roman" w:eastAsia="方正仿宋_GB2312" w:cs="Times New Roman"/>
                <w:b w:val="0"/>
                <w:bCs w:val="0"/>
                <w:kern w:val="0"/>
                <w:sz w:val="24"/>
                <w:szCs w:val="24"/>
              </w:rPr>
            </w:pPr>
          </w:p>
        </w:tc>
      </w:tr>
    </w:tbl>
    <w:p>
      <w:pPr>
        <w:widowControl/>
        <w:rPr>
          <w:rFonts w:hint="default" w:ascii="Times New Roman" w:hAnsi="Times New Roman" w:eastAsia="方正仿宋_GB2312" w:cs="Times New Roman"/>
          <w:b/>
          <w:bCs/>
          <w:kern w:val="0"/>
          <w:sz w:val="28"/>
          <w:szCs w:val="28"/>
          <w:lang w:val="en-US" w:eastAsia="zh-CN"/>
        </w:rPr>
      </w:pPr>
      <w:r>
        <w:rPr>
          <w:rFonts w:hint="default" w:ascii="Times New Roman" w:hAnsi="Times New Roman" w:eastAsia="方正仿宋_GB2312" w:cs="Times New Roman"/>
          <w:b w:val="0"/>
          <w:bCs w:val="0"/>
          <w:kern w:val="0"/>
          <w:sz w:val="28"/>
          <w:szCs w:val="28"/>
          <w:lang w:val="en-US" w:eastAsia="zh-CN"/>
        </w:rPr>
        <w:t>备注：每队01号队员为该队参赛联络员。</w:t>
      </w:r>
    </w:p>
    <w:sectPr>
      <w:pgSz w:w="16838" w:h="11906" w:orient="landscape"/>
      <w:pgMar w:top="2098" w:right="1474" w:bottom="1984" w:left="1587" w:header="851" w:footer="992" w:gutter="0"/>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revisionView w:markup="0"/>
  <w:trackRevisions w:val="tru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FCEF76"/>
    <w:rsid w:val="3AFFCE2F"/>
    <w:rsid w:val="3EE966CB"/>
    <w:rsid w:val="3F9FB01F"/>
    <w:rsid w:val="3FF734B3"/>
    <w:rsid w:val="73BDCA47"/>
    <w:rsid w:val="7F6D1D70"/>
    <w:rsid w:val="7F7F2B43"/>
    <w:rsid w:val="7FBECF32"/>
    <w:rsid w:val="7FEE11D8"/>
    <w:rsid w:val="B7EF5231"/>
    <w:rsid w:val="BF7D22C6"/>
    <w:rsid w:val="DBAF1D56"/>
    <w:rsid w:val="FD4D3DAC"/>
    <w:rsid w:val="FFB71C3D"/>
    <w:rsid w:val="FFBD1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楷体_GB2312" w:cs="宋体"/>
      <w:kern w:val="2"/>
      <w:sz w:val="24"/>
      <w:szCs w:val="24"/>
      <w:u w:val="none"/>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rPr>
  </w:style>
  <w:style w:type="paragraph" w:styleId="3">
    <w:name w:val="heading 2"/>
    <w:basedOn w:val="1"/>
    <w:next w:val="1"/>
    <w:qFormat/>
    <w:uiPriority w:val="0"/>
    <w:pPr>
      <w:spacing w:before="0" w:beforeAutospacing="1" w:after="0" w:afterAutospacing="1"/>
      <w:jc w:val="left"/>
    </w:pPr>
    <w:rPr>
      <w:rFonts w:hint="eastAsia" w:ascii="宋体" w:hAnsi="宋体" w:eastAsia="宋体" w:cs="宋体"/>
      <w:b/>
      <w:bCs/>
      <w:kern w:val="0"/>
      <w:sz w:val="36"/>
      <w:szCs w:val="36"/>
      <w:lang w:val="en-US" w:eastAsia="zh-CN"/>
    </w:rPr>
  </w:style>
  <w:style w:type="paragraph" w:styleId="4">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character" w:default="1" w:styleId="11">
    <w:name w:val="Default Paragraph Font"/>
    <w:qFormat/>
    <w:uiPriority w:val="0"/>
  </w:style>
  <w:style w:type="table" w:default="1" w:styleId="9">
    <w:name w:val="Normal Table"/>
    <w:qFormat/>
    <w:uiPriority w:val="0"/>
    <w:tblPr>
      <w:tblCellMar>
        <w:top w:w="0" w:type="dxa"/>
        <w:left w:w="108" w:type="dxa"/>
        <w:bottom w:w="0" w:type="dxa"/>
        <w:right w:w="108" w:type="dxa"/>
      </w:tblCellMar>
    </w:tblPr>
  </w:style>
  <w:style w:type="paragraph" w:styleId="5">
    <w:name w:val="Body Text"/>
    <w:basedOn w:val="1"/>
    <w:qFormat/>
    <w:uiPriority w:val="0"/>
    <w:pPr>
      <w:widowControl w:val="0"/>
      <w:jc w:val="both"/>
    </w:pPr>
    <w:rPr>
      <w:rFonts w:ascii="微软雅黑" w:hAnsi="微软雅黑" w:eastAsia="微软雅黑" w:cs="微软雅黑"/>
      <w:kern w:val="2"/>
      <w:sz w:val="31"/>
      <w:szCs w:val="31"/>
      <w:lang w:val="en-US" w:eastAsia="zh-CN" w:bidi="ar-SA"/>
    </w:rPr>
  </w:style>
  <w:style w:type="paragraph" w:styleId="6">
    <w:name w:val="footer"/>
    <w:basedOn w:val="1"/>
    <w:qFormat/>
    <w:uiPriority w:val="99"/>
    <w:pPr>
      <w:tabs>
        <w:tab w:val="center" w:pos="4153"/>
        <w:tab w:val="right" w:pos="8306"/>
      </w:tabs>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Table Text"/>
    <w:basedOn w:val="1"/>
    <w:qFormat/>
    <w:uiPriority w:val="0"/>
    <w:rPr>
      <w:rFonts w:ascii="仿宋" w:hAnsi="仿宋" w:eastAsia="仿宋" w:cs="仿宋"/>
      <w:sz w:val="28"/>
      <w:szCs w:val="28"/>
      <w:lang w:val="en-US" w:eastAsia="en-US" w:bidi="ar-SA"/>
    </w:rPr>
  </w:style>
  <w:style w:type="table" w:customStyle="1" w:styleId="14">
    <w:name w:val="Table Normal"/>
    <w:qFormat/>
    <w:uiPriority w:val="0"/>
    <w:tblPr>
      <w:tblCellMar>
        <w:top w:w="0" w:type="dxa"/>
        <w:left w:w="0" w:type="dxa"/>
        <w:bottom w:w="0" w:type="dxa"/>
        <w:right w:w="0" w:type="dxa"/>
      </w:tblCellMar>
    </w:tbl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4104</Words>
  <Characters>4206</Characters>
  <Paragraphs>286</Paragraphs>
  <TotalTime>11</TotalTime>
  <ScaleCrop>false</ScaleCrop>
  <LinksUpToDate>false</LinksUpToDate>
  <CharactersWithSpaces>4268</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2026-05-15T07:33:00Z</dcterms:created>
  <dc:creator>胡小胖</dc:creator>
  <cp:lastModifiedBy>thtf</cp:lastModifiedBy>
  <cp:lastPrinted>2026-08-07T15:48:32Z</cp:lastPrinted>
  <dcterms:modified xsi:type="dcterms:W3CDTF">2026-08-07T15:48:33Z</dcterms:modified>
  <dc:title>附件2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15AEF0C37D69D923BEF66F6A4E623838</vt:lpwstr>
  </property>
  <property fmtid="{D5CDD505-2E9C-101B-9397-08002B2CF9AE}" pid="4" name="KSOTemplateDocerSaveRecord">
    <vt:lpwstr>eyJoZGlkIjoiNDc4NGI0ODAwYmM5MjUyZmQ0YTBkZTNlMGIwOWNmMzQiLCJ1c2VySWQiOiI0NDI1ODExMjQifQ==</vt:lpwstr>
  </property>
</Properties>
</file>